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ltgo-20260630.htm"/>
      <w:bookmarkStart w:id="1" w:name="ksltgo20260630"/>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0" w:after="240"/>
        <w:jc w:val="center"/>
        <w:rPr/>
      </w:pPr>
      <w:r>
        <w:rPr/>
        <w:t> </w:t>
      </w:r>
    </w:p>
    <w:p>
      <w:pPr>
        <w:pStyle w:val="TextBody"/>
        <w:bidi w:val="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color w:val="000000"/>
          <w:sz w:val="20"/>
          <w:u w:val="single"/>
        </w:rPr>
        <w:t>     </w:t>
      </w:r>
      <w:r>
        <w:rPr>
          <w:rFonts w:ascii="Times New Roman" w:hAnsi="Times New Roman"/>
          <w:color w:val="000000"/>
          <w:sz w:val="20"/>
        </w:rPr>
        <w:t xml:space="preserve"> </w:t>
      </w:r>
      <w:r>
        <w:rPr>
          <w:rFonts w:ascii="Times New Roman" w:hAnsi="Times New Roman"/>
          <w:b/>
          <w:color w:val="000000"/>
          <w:sz w:val="20"/>
        </w:rPr>
        <w:t>to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001-43436</w:t>
      </w:r>
    </w:p>
    <w:p>
      <w:pPr>
        <w:pStyle w:val="TextBody"/>
        <w:pBdr>
          <w:bottom w:val="single" w:sz="4" w:space="1" w:color="000000"/>
        </w:pBdr>
        <w:bidi w:val="0"/>
        <w:spacing w:before="0" w:after="24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Latigo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240"/>
        <w:jc w:val="center"/>
        <w:rPr/>
      </w:pPr>
      <w:r>
        <w:rPr/>
        <w:t>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83-2625838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sz w:val="20"/>
        </w:rPr>
      </w:pPr>
      <w:r>
        <w:rPr>
          <w:rFonts w:ascii="Times New Roman" w:hAnsi="Times New Roman"/>
          <w:b/>
          <w:color w:val="000000"/>
          <w:sz w:val="20"/>
        </w:rPr>
        <w:t>1300 Rancho Conejo Boulevard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Suite 305</w:t>
      </w:r>
    </w:p>
    <w:p>
      <w:pPr>
        <w:pStyle w:val="TextBody"/>
        <w:bidi w:val="0"/>
        <w:jc w:val="center"/>
        <w:rPr>
          <w:rFonts w:ascii="Times New Roman" w:hAnsi="Times New Roman"/>
          <w:sz w:val="20"/>
        </w:rPr>
      </w:pPr>
      <w:r>
        <w:rPr>
          <w:rFonts w:ascii="Times New Roman" w:hAnsi="Times New Roman"/>
          <w:b/>
          <w:color w:val="000000"/>
          <w:sz w:val="20"/>
        </w:rPr>
        <w:t>Thousand Oaks, California</w:t>
      </w:r>
      <w:r>
        <w:rPr>
          <w:rFonts w:ascii="Times New Roman" w:hAnsi="Times New Roman"/>
          <w:color w:val="000000"/>
          <w:sz w:val="20"/>
        </w:rPr>
        <w:t xml:space="preserve"> </w:t>
      </w:r>
      <w:r>
        <w:rPr>
          <w:rFonts w:ascii="Times New Roman" w:hAnsi="Times New Roman"/>
          <w:b/>
          <w:color w:val="000000"/>
          <w:sz w:val="20"/>
        </w:rPr>
        <w:t>91320</w:t>
      </w:r>
    </w:p>
    <w:p>
      <w:pPr>
        <w:pStyle w:val="TextBody"/>
        <w:bidi w:val="0"/>
        <w:jc w:val="center"/>
        <w:rPr>
          <w:rFonts w:ascii="Times New Roman" w:hAnsi="Times New Roman"/>
          <w:b/>
          <w:color w:val="000000"/>
          <w:sz w:val="20"/>
        </w:rPr>
      </w:pPr>
      <w:r>
        <w:rPr>
          <w:rFonts w:ascii="Times New Roman" w:hAnsi="Times New Roman"/>
          <w:b/>
          <w:color w:val="000000"/>
          <w:sz w:val="20"/>
        </w:rPr>
        <w:t>(805) 716-2927</w:t>
      </w:r>
    </w:p>
    <w:p>
      <w:pPr>
        <w:pStyle w:val="TextBody"/>
        <w:bidi w:val="0"/>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4" w:space="1" w:color="000000"/>
        </w:pBdr>
        <w:bidi w:val="0"/>
        <w:spacing w:before="0" w:after="240"/>
        <w:jc w:val="center"/>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16" w:type="dxa"/>
        <w:jc w:val="left"/>
        <w:tblInd w:w="0" w:type="dxa"/>
        <w:tblLayout w:type="fixed"/>
        <w:tblCellMar>
          <w:top w:w="28" w:type="dxa"/>
          <w:left w:w="28" w:type="dxa"/>
          <w:bottom w:w="28" w:type="dxa"/>
          <w:right w:w="28" w:type="dxa"/>
        </w:tblCellMar>
      </w:tblPr>
      <w:tblGrid>
        <w:gridCol w:w="3871"/>
        <w:gridCol w:w="109"/>
        <w:gridCol w:w="826"/>
        <w:gridCol w:w="109"/>
        <w:gridCol w:w="3001"/>
      </w:tblGrid>
      <w:tr>
        <w:trPr/>
        <w:tc>
          <w:tcPr>
            <w:tcW w:w="3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LTGO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0" w:after="60"/>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files). Yes☒ No ☐</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tbl>
      <w:tblPr>
        <w:tblW w:w="5086" w:type="dxa"/>
        <w:jc w:val="left"/>
        <w:tblInd w:w="0" w:type="dxa"/>
        <w:tblLayout w:type="fixed"/>
        <w:tblCellMar>
          <w:top w:w="28" w:type="dxa"/>
          <w:left w:w="28" w:type="dxa"/>
          <w:bottom w:w="28" w:type="dxa"/>
          <w:right w:w="28" w:type="dxa"/>
        </w:tblCellMar>
      </w:tblPr>
      <w:tblGrid>
        <w:gridCol w:w="2056"/>
        <w:gridCol w:w="109"/>
        <w:gridCol w:w="316"/>
        <w:gridCol w:w="109"/>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40" w:after="4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6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Act). Yes ☐ No ☒</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As of September 1, 2026, the registrant had 66,299,347 shares of common stock outstanding.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698" w:type="dxa"/>
        <w:jc w:val="left"/>
        <w:tblInd w:w="0" w:type="dxa"/>
        <w:tblLayout w:type="fixed"/>
        <w:tblCellMar>
          <w:top w:w="28" w:type="dxa"/>
          <w:left w:w="28" w:type="dxa"/>
          <w:bottom w:w="28" w:type="dxa"/>
          <w:right w:w="28" w:type="dxa"/>
        </w:tblCellMar>
      </w:tblPr>
      <w:tblGrid>
        <w:gridCol w:w="7981"/>
        <w:gridCol w:w="146"/>
        <w:gridCol w:w="571"/>
      </w:tblGrid>
      <w:tr>
        <w:trPr/>
        <w:tc>
          <w:tcPr>
            <w:tcW w:w="7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part_i_financial_information">
              <w:r>
                <w:rPr>
                  <w:rStyle w:val="InternetLink"/>
                  <w:rFonts w:ascii="Times New Roman" w:hAnsi="Times New Roman"/>
                  <w:color w:val="0000FF"/>
                  <w:sz w:val="20"/>
                  <w:u w:val="single"/>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condensed_balance_sheets">
              <w:r>
                <w:rPr>
                  <w:rStyle w:val="InternetLink"/>
                  <w:rFonts w:ascii="Times New Roman" w:hAnsi="Times New Roman"/>
                  <w:color w:val="0000FF"/>
                  <w:sz w:val="20"/>
                  <w:u w:val="single"/>
                </w:rPr>
                <w:t>Condensed Balance Sheets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condensed_statements_of_operations">
              <w:r>
                <w:rPr>
                  <w:rStyle w:val="InternetLink"/>
                  <w:rFonts w:ascii="Times New Roman" w:hAnsi="Times New Roman"/>
                  <w:color w:val="0000FF"/>
                  <w:sz w:val="20"/>
                  <w:u w:val="single"/>
                </w:rPr>
                <w:t>Condensed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preferred_stock_and_stockholders_equity">
              <w:r>
                <w:rPr>
                  <w:rStyle w:val="InternetLink"/>
                  <w:rFonts w:ascii="Times New Roman" w:hAnsi="Times New Roman"/>
                  <w:color w:val="0000FF"/>
                  <w:sz w:val="20"/>
                  <w:u w:val="single"/>
                </w:rPr>
                <w:t>Condensed Statements of Redeemable Convertible Preferred Stock and Stockholders’ Deficit</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condensed_statements_of_cash_flows">
              <w:r>
                <w:rPr>
                  <w:rStyle w:val="InternetLink"/>
                  <w:rFonts w:ascii="Times New Roman" w:hAnsi="Times New Roman"/>
                  <w:color w:val="0000FF"/>
                  <w:sz w:val="20"/>
                  <w:u w:val="single"/>
                </w:rPr>
                <w:t>Condensed Statements of Cash Flows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notes_to_the_condensed_financial_stmts">
              <w:r>
                <w:rPr>
                  <w:rStyle w:val="InternetLink"/>
                  <w:rFonts w:ascii="Times New Roman" w:hAnsi="Times New Roman"/>
                  <w:color w:val="0000FF"/>
                  <w:sz w:val="20"/>
                  <w:u w:val="single"/>
                </w:rPr>
                <w:t>Notes to Condensed Financial Statements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9</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2_mda">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28</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m_3_quantitative_and_qualitative">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4_controls_and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part_ii_other_information">
              <w:r>
                <w:rPr>
                  <w:rStyle w:val="InternetLink"/>
                  <w:rFonts w:ascii="Times New Roman" w:hAnsi="Times New Roman"/>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2_unregistered_sales_of_equity">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101</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101</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101</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5_othe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101</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102</w:t>
            </w:r>
          </w:p>
        </w:tc>
      </w:tr>
      <w:tr>
        <w:trPr/>
        <w:tc>
          <w:tcPr>
            <w:tcW w:w="7981" w:type="dxa"/>
            <w:tcBorders/>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103</w:t>
            </w:r>
          </w:p>
        </w:tc>
      </w:tr>
    </w:tbl>
    <w:p>
      <w:pPr>
        <w:pStyle w:val="TextBody"/>
        <w:bidi w:val="0"/>
        <w:jc w:val="left"/>
        <w:rPr/>
      </w:pPr>
      <w:r>
        <w:rPr/>
        <w:t>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(this Quarterly Report) contains forward-looking statements about us and our industry that involve substantial risks and uncertainties. All statements other than statements of historical facts contained in this Quarterly Report, including statements regarding future events, our business strategy, and the plans and objectives of management for future operations, are forward-looking statements. We have based these forward-looking statements largely on our current expectations and projections. In some cases, you can identify forward-looking statements because they contain words such as “aim,” “anticipate,” “assume,” “believe,” “can,” “contemplate,” “continue,” “could,” “design,” “due,” “estimate,” “expect,” “goal,” “intend,” “may,” “might,” “objective,” “plan,” “positioned,” “potential,” “predict,” “project,” “seek,” “shall,” “should,” “target,” “will,” “would” or the negative of these words or other similar terms or expressions.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research and development programs,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costs involved in obtaining and maintaining regulatory approval of onzotrigine, LTG-321, LTG-418 and any future product candidates that we may identify or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including potential safety, efficacy and therapeutic effects of onzotrigine, LTG-321 and LTG-418;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efficiently and cost-effectively conduct our current and future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necessary to complete further development and, if approved, commercialization of onzotrigine, LTG-321 and LTG-418;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develop onzotrigine, LTG-321 and LTG-418 for treatment of additional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third-party service providers, including our suppliers and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for onzotrigine, LTG-321, LTG-418 and any other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competition with respect to onzotrigine, LTG-321 and LTG-418 or any other product candidates we may develop, as well as innovations by competitors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the potential market opportunities and the number of patients for onzotrigine, LTG-321, LTG-418 and any future product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onzotrigine, LTG-321, LTG-418 and any future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position, including the scope of protection we are able to establish, maintain, defend and enforce for intellectual property rights covering onzotrigine, LTG-321, LTG-418 and any future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scientific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and legal developments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employees and collaborators with development, regulatory and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future expenses, future revenue, capital requirements and need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over which we estimate our existing cash and cash equivalents will be sufficient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impact of global health pandemics, geopolitical conflicts and economic uncertainty, including interest rate changes and inflation on our business and operations, including clinical trials, collaborators, CROs and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qualify as an emerging growth company under the JOBS Act.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forward-looking statements reflect our management’s beliefs and views with respect to future events and are based on estimates and assumptions as of the date of this Quarterly Report and are subject to risks and uncertainties.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greater detail under the heading “Risk Factors” and elsewhere in this Quarterly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Except as required by law, we undertake no obligation to update these forward-looking statements publicly, or to update the reasons actual results could differ materially from those anticipated in any forward-looking statements, whether as a result of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use our website as a means of disclosing material non-public information and for complying with our disclosure obligations under Regulation Fair Disclosure promulgated by the U.S. Securities and Exchange Commission (SEC). These disclosures will be included on our website under the “Investors” section.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RISKS RELATED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is subject to a number of risks of which you should be aware before making a decision to invest in our common stock. These risks are more fully described in Part II, Item 1A. “Risk Factors” in this Quarterly Report,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with a limited operating history. We have no history of commercializing products, which may make it difficult to evaluate our approach to the discovery and development of our product candidates and the prospects for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since our inception. As of June 30, 2026 our accumulated deficit was approximately $291.9 million. We anticipate incurring substantial and increasing losses for the foreseeable future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financing to achieve our goals, which may cause dilution to our stockholders, and failure to obtain additional capital when needed, or on acceptable terms to us, could cause us to delay, limit, reduce, or terminate our product development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only have two product candidates, onzotrigine and LTG-321, in clinical development. If we are unable to continue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development involves a lengthy and expensive process, with an uncertain outcome, and results of earlier studies and trials may not be predictive of future trial or real-world results. Our product candidates may not have favorable results in clinical trials or preclinical studies or receive regulatory approval on a timely basis,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grow our organization, and we may experience difficulties in managing our growth and expanding our operations, which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the services of our management and other clinical and scientific personnel, and if we are not able to retain these individuals or recruit additional management or clinical and scientific personnel, our business will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projections regarding the market opportunities for our product candidates may not be accurate and the actual market for our products may be smaller than we estimate.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maintain and protect sufficient patent and other intellectual property rights for our product candidates and technology, or if the scope of patent and other intellectual property rights obtained is not sufficiently broad,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certain in-licensed patents and other intellectual property rights in connection with our development of our product candidates and may be required to acquire or license additional patents or other intellectual property rights to continue to develop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preclinical studies and clinical trials. If these third parties that we rely on to execute our preclinical studies or clinical trials do not successfully carry out their contractual duties, comply with applicable regulatory requirements or meet expected deadlines, we may not be able to obtain regulatory approval for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form or seek collaborations or strategic alliances, enter into licensing arrangements or other business transactions in the future, and we may not realize the benefits of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products may reduce or eliminate the commercial opportunity for our product candidates for our current or future indications. If our competitors develop technologies or product candidates more rapidly than we do, or their technologies are more effective or safer than ours, our ability to develop and successfully commercialize our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fail to achieve the degree of market acceptance by physicians, patients and others in the medical community necessary for commercial success, in which case we may not generate significant revenues or become profitable.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healthcare legislative and regulatory reform measures may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total outstanding shares are eligible to be sold into the market in the near future, which could cause the market price of our common stock to drop significantly, even if our business is doing well.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identified a material weakness in our internal control over financial reporting. If we fail to remediate this material weakness, or if we identify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LATIGO BIOTHERAPEUTICS,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Heading2"/>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4"/>
        <w:gridCol w:w="146"/>
        <w:gridCol w:w="211"/>
        <w:gridCol w:w="841"/>
        <w:gridCol w:w="166"/>
        <w:gridCol w:w="146"/>
        <w:gridCol w:w="224"/>
        <w:gridCol w:w="895"/>
        <w:gridCol w:w="612"/>
      </w:tblGrid>
      <w:tr>
        <w:trPr/>
        <w:tc>
          <w:tcPr>
            <w:tcW w:w="6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75,516</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br/>
              <w:t>   $0.0001 par value per share, 264,397,134 shares authorized; 41,155,082 shares issued and outstanding with aggregate liquidation preference of $287,899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br/>
              <w:t>   $0.0001 par value per share, 342,000,000 shares authorized at June 30, 2026 and December 31, 2025, 988,236 shares and 878,521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(243,131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(231,674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75,516</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LATIGO BIOTHERAPEUTICS, INC.</w:t>
      </w:r>
    </w:p>
    <w:p>
      <w:pPr>
        <w:pStyle w:val="TextBody"/>
        <w:bidi w:val="0"/>
        <w:jc w:val="center"/>
        <w:rPr>
          <w:rFonts w:ascii="Times New Roman" w:hAnsi="Times New Roman"/>
          <w:b/>
          <w:color w:val="000000"/>
          <w:sz w:val="20"/>
        </w:rPr>
      </w:pPr>
      <w:bookmarkStart w:id="5" w:name="condensed_statements_of_operation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Heading2"/>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15"/>
        <w:gridCol w:w="146"/>
        <w:gridCol w:w="227"/>
        <w:gridCol w:w="793"/>
        <w:gridCol w:w="178"/>
        <w:gridCol w:w="157"/>
        <w:gridCol w:w="227"/>
        <w:gridCol w:w="793"/>
        <w:gridCol w:w="166"/>
        <w:gridCol w:w="146"/>
        <w:gridCol w:w="216"/>
        <w:gridCol w:w="755"/>
        <w:gridCol w:w="170"/>
        <w:gridCol w:w="149"/>
        <w:gridCol w:w="216"/>
        <w:gridCol w:w="755"/>
        <w:gridCol w:w="596"/>
      </w:tblGrid>
      <w:tr>
        <w:trPr/>
        <w:tc>
          <w:tcPr>
            <w:tcW w:w="4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preferred stock tranche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LATIGO BIOTHERAPEUTICS, INC.</w:t>
      </w:r>
    </w:p>
    <w:p>
      <w:pPr>
        <w:pStyle w:val="TextBody"/>
        <w:bidi w:val="0"/>
        <w:jc w:val="center"/>
        <w:rPr>
          <w:rFonts w:ascii="Times New Roman" w:hAnsi="Times New Roman"/>
          <w:b/>
          <w:color w:val="000000"/>
          <w:sz w:val="20"/>
        </w:rPr>
      </w:pPr>
      <w:bookmarkStart w:id="6" w:name="preferred_stock_and_stockholders_equity"/>
      <w:bookmarkEnd w:id="6"/>
      <w:r>
        <w:rPr>
          <w:rFonts w:ascii="Times New Roman" w:hAnsi="Times New Roman"/>
          <w:b/>
          <w:color w:val="000000"/>
          <w:sz w:val="20"/>
        </w:rPr>
        <w:t>Condensed Statements of Redeemable Convertible Preferred Stock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data)</w:t>
      </w:r>
    </w:p>
    <w:p>
      <w:pPr>
        <w:pStyle w:val="Heading2"/>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Heading2"/>
        <w:bidi w:val="0"/>
        <w:jc w:val="left"/>
        <w:rPr/>
      </w:pPr>
      <w:r>
        <w:rPr/>
        <w:t> </w:t>
      </w:r>
    </w:p>
    <w:tbl>
      <w:tblPr>
        <w:tblW w:w="10556" w:type="dxa"/>
        <w:jc w:val="left"/>
        <w:tblInd w:w="0" w:type="dxa"/>
        <w:tblLayout w:type="fixed"/>
        <w:tblCellMar>
          <w:top w:w="28" w:type="dxa"/>
          <w:left w:w="28" w:type="dxa"/>
          <w:bottom w:w="28" w:type="dxa"/>
          <w:right w:w="28" w:type="dxa"/>
        </w:tblCellMar>
      </w:tblPr>
      <w:tblGrid>
        <w:gridCol w:w="1261"/>
        <w:gridCol w:w="146"/>
        <w:gridCol w:w="146"/>
        <w:gridCol w:w="1036"/>
        <w:gridCol w:w="146"/>
        <w:gridCol w:w="146"/>
        <w:gridCol w:w="211"/>
        <w:gridCol w:w="781"/>
        <w:gridCol w:w="146"/>
        <w:gridCol w:w="146"/>
        <w:gridCol w:w="146"/>
        <w:gridCol w:w="146"/>
        <w:gridCol w:w="781"/>
        <w:gridCol w:w="146"/>
        <w:gridCol w:w="146"/>
        <w:gridCol w:w="284"/>
        <w:gridCol w:w="467"/>
        <w:gridCol w:w="146"/>
        <w:gridCol w:w="146"/>
        <w:gridCol w:w="221"/>
        <w:gridCol w:w="710"/>
        <w:gridCol w:w="146"/>
        <w:gridCol w:w="146"/>
        <w:gridCol w:w="225"/>
        <w:gridCol w:w="901"/>
        <w:gridCol w:w="166"/>
        <w:gridCol w:w="146"/>
        <w:gridCol w:w="222"/>
        <w:gridCol w:w="889"/>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41,155,082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556" w:type="dxa"/>
        <w:jc w:val="left"/>
        <w:tblInd w:w="0" w:type="dxa"/>
        <w:tblLayout w:type="fixed"/>
        <w:tblCellMar>
          <w:top w:w="28" w:type="dxa"/>
          <w:left w:w="28" w:type="dxa"/>
          <w:bottom w:w="28" w:type="dxa"/>
          <w:right w:w="28" w:type="dxa"/>
        </w:tblCellMar>
      </w:tblPr>
      <w:tblGrid>
        <w:gridCol w:w="1261"/>
        <w:gridCol w:w="146"/>
        <w:gridCol w:w="146"/>
        <w:gridCol w:w="1036"/>
        <w:gridCol w:w="146"/>
        <w:gridCol w:w="146"/>
        <w:gridCol w:w="211"/>
        <w:gridCol w:w="781"/>
        <w:gridCol w:w="146"/>
        <w:gridCol w:w="146"/>
        <w:gridCol w:w="146"/>
        <w:gridCol w:w="146"/>
        <w:gridCol w:w="781"/>
        <w:gridCol w:w="146"/>
        <w:gridCol w:w="146"/>
        <w:gridCol w:w="284"/>
        <w:gridCol w:w="467"/>
        <w:gridCol w:w="146"/>
        <w:gridCol w:w="146"/>
        <w:gridCol w:w="251"/>
        <w:gridCol w:w="680"/>
        <w:gridCol w:w="146"/>
        <w:gridCol w:w="146"/>
        <w:gridCol w:w="225"/>
        <w:gridCol w:w="901"/>
        <w:gridCol w:w="166"/>
        <w:gridCol w:w="146"/>
        <w:gridCol w:w="222"/>
        <w:gridCol w:w="889"/>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26,311,071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B redeemable convertible preferred stock, net of preferred stock tranche liability of $458K and issuance costs of $566K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36,207,077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36,207,077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LATIGO BIOTHERAPEUTICS, INC.</w:t>
      </w:r>
    </w:p>
    <w:p>
      <w:pPr>
        <w:pStyle w:val="TextBody"/>
        <w:bidi w:val="0"/>
        <w:jc w:val="center"/>
        <w:rPr>
          <w:rFonts w:ascii="Times New Roman" w:hAnsi="Times New Roman"/>
          <w:b/>
          <w:color w:val="000000"/>
          <w:sz w:val="20"/>
        </w:rPr>
      </w:pPr>
      <w:bookmarkStart w:id="7" w:name="condensed_statements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Heading2"/>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7"/>
        <w:gridCol w:w="146"/>
        <w:gridCol w:w="219"/>
        <w:gridCol w:w="766"/>
        <w:gridCol w:w="172"/>
        <w:gridCol w:w="151"/>
        <w:gridCol w:w="219"/>
        <w:gridCol w:w="766"/>
        <w:gridCol w:w="166"/>
        <w:gridCol w:w="993"/>
      </w:tblGrid>
      <w:tr>
        <w:trPr/>
        <w:tc>
          <w:tcPr>
            <w:tcW w:w="6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preferred stock tranche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redeemable convertible preferred stock, net of issuance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initial public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55,210</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for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Unpaid deferred initial public offering costs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Unpaid convertible notes issuance costs included in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interim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LATIGO BIOTHERAPEUTICS, INC.</w:t>
      </w:r>
    </w:p>
    <w:p>
      <w:pPr>
        <w:pStyle w:val="Heading2"/>
        <w:bidi w:val="0"/>
        <w:jc w:val="center"/>
        <w:rPr>
          <w:rFonts w:ascii="Times New Roman" w:hAnsi="Times New Roman"/>
          <w:color w:val="000000"/>
          <w:sz w:val="20"/>
        </w:rPr>
      </w:pPr>
      <w:bookmarkStart w:id="8" w:name="notes_to_the_condensed_financial_stmts"/>
      <w:bookmarkEnd w:id="8"/>
      <w:r>
        <w:rPr>
          <w:rFonts w:ascii="Times New Roman" w:hAnsi="Times New Roman"/>
          <w:color w:val="000000"/>
          <w:sz w:val="20"/>
        </w:rPr>
        <w:t>Notes to the Condensed Financial Statements</w:t>
      </w:r>
    </w:p>
    <w:p>
      <w:pPr>
        <w:pStyle w:val="Heading2"/>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Organization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Latigo Biotherapeutics, Inc. (the Company) is a clinical-stage biotechnology company committed to developing innovative non-opioid pain medicines designed to rapidly and effectively stop the transmission of pain without the risk of addiction.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incorporated in Delaware in November 2018, under the name Desmond, Inc. In December 2019, the Company changed its name to Latigo Biotherapeutics, Inc. The Company is headquartered in Thousand Oaks, California.</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assuming the Company will continue as a going concern, which assumes that the Company will realize its assets and satisfy its liabilities in the normal course of business. The Company is subject to risks inherent in operating an early-stage biotechnology business. These risks include, but are not limited to, dependence on the development of marketable products, the ability to attract, retain, and motivate qualified personnel, rapid technological changes and the rapidly evolving nature of the biotechnology industry.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June 30, 2026, the Company had cash and cash equivalents of </w:t>
      </w:r>
      <w:r>
        <w:rPr>
          <w:rFonts w:ascii="Times New Roman" w:hAnsi="Times New Roman"/>
          <w:color w:val="231F20"/>
          <w:sz w:val="20"/>
        </w:rPr>
        <w:t>$55.0 million</w:t>
      </w:r>
      <w:r>
        <w:rPr>
          <w:rFonts w:ascii="Times New Roman" w:hAnsi="Times New Roman"/>
          <w:color w:val="000000"/>
          <w:sz w:val="20"/>
        </w:rPr>
        <w:t xml:space="preserve">. The Company has incurred net losses of </w:t>
      </w:r>
      <w:r>
        <w:rPr>
          <w:rFonts w:ascii="Times New Roman" w:hAnsi="Times New Roman"/>
          <w:color w:val="231F20"/>
          <w:sz w:val="20"/>
        </w:rPr>
        <w:t>$48.8 million and</w:t>
      </w:r>
      <w:r>
        <w:rPr>
          <w:rFonts w:ascii="Times New Roman" w:hAnsi="Times New Roman"/>
          <w:color w:val="000000"/>
          <w:sz w:val="20"/>
        </w:rPr>
        <w:t xml:space="preserve"> </w:t>
      </w:r>
      <w:r>
        <w:rPr>
          <w:rFonts w:ascii="Times New Roman" w:hAnsi="Times New Roman"/>
          <w:color w:val="231F20"/>
          <w:sz w:val="20"/>
        </w:rPr>
        <w:t>$46.8 million</w:t>
      </w:r>
      <w:r>
        <w:rPr>
          <w:rFonts w:ascii="Times New Roman" w:hAnsi="Times New Roman"/>
          <w:color w:val="000000"/>
          <w:sz w:val="20"/>
        </w:rPr>
        <w:t xml:space="preserve"> for the six months ended June 30, 2026 and 2025, respectively. The net cash used in operating activities was </w:t>
      </w:r>
      <w:r>
        <w:rPr>
          <w:rFonts w:ascii="Times New Roman" w:hAnsi="Times New Roman"/>
          <w:color w:val="231F20"/>
          <w:sz w:val="20"/>
        </w:rPr>
        <w:t>$48.4 million and</w:t>
      </w:r>
      <w:r>
        <w:rPr>
          <w:rFonts w:ascii="Times New Roman" w:hAnsi="Times New Roman"/>
          <w:color w:val="000000"/>
          <w:sz w:val="20"/>
        </w:rPr>
        <w:t xml:space="preserve"> $42.7 million for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since its inception and expects to continue to incur substantial losses for the foreseeable future,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historically financed its operations primarily through the issuances of convertible promissory notes, demand notes and redeemable convertible preferred stock, and most recently, through sale of its common stock in an initial public offering (“IPO”).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completed its IPO in August 2026, receiving net proceeds of approximately $363.9 million after deducting underwriting discounts, commissions, and estimated offering expenses. As a result, the Company's existing cash and cash equivalents with the IPO proceeds are sufficient to fund the Company's operating plans for at least the 12-month period following the date that these unaudited condensed financial statements and accompanying notes were issued. Accordingly, the prior substantial doubt about the Company's ability to continue as a going concern has been alleviated.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28, 2026 the Company amended its amended and restated certificate of incorporation to effect a 1-for-6.42441 reverse stock split of the Company’s common stock and redeemable convertible preferred stock (the Reverse Stock Split). The par value and authorized shares of the common stock and redeemable convertible preferred stock were not adjusted as a result of the Reverse Stock Split. All issued and outstanding common stock, redeemable convertible preferred stock, options to purchase common stock, and per share amounts contained in the financial statements have been retroactively adjusted to give effect to the Reverse Stock Split for all periods presented.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Initial Public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2026, the Company completed its IPO, pursuant to which the Company issued and sold 22,080,000 shares of its common stock at a public offering price of $18.00 per share (the IPO Price), including 2,880,000 additional shares of its common stock pursuant to the exercise in full by the underwriters of their option to purchase shares of common stock from the Company at the IPO Price. As a result, the Company received net proceeds of approximately $363.9 million, after deducting underwriting discounts, commissions and other offering expenses payable by the Company of approximately $33.6 million. Immediately prior to the closing of the IPO, the Company’s outstanding redeemable convertible preferred stock automatically converted into 41,155,082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closing of the IPO, no shares of redeemable convertible preferred stock were authorized or outstanding. In connection with the completion of the IPO, on August 10, 2026, the Company’s certificate of incorporation was amended and restated to (i) authorize 1,000.0 million shares of common stock, par value $0.0001 per share, which eliminates all references to the previously existing series of redeemable convertible preferred stock; and (ii) authorize 10.0 million shares of undesignated preferred stock, par value $0.0001 per share, that may be issued from time to time by the Company’s board of directors (Board of Directors) in one or more series.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unaudited condensed financial statements as of and for the period ended June 30, 2026, including share and per share amounts, do not give effect to the IPO and related actions as it closed subsequent to June 30, 2026.</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condensed financial statements have been prepared in conformity with U.S. generally accepted accounting principles (U.S. GAAP). Any reference in these notes to applicable guidance is meant to refer to the authoritative U.S. GAAP as found in the Accounting Standards Codification (ASC) and Accounting Standards Updates (ASUs) of the Financial Accounting Standards Board (FASB). Certain prior period amounts have been reclassified to conform the prior period presentation to the current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Unaudited Interim Condensed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balance sheet as of December 31, 2025 was derived from the Company’s audited financial statements but does not contain all of the footnote disclosures from the annual financial statements. The accompanying unaudited interim condensed financial statements as of June 30, 2026 and for the three and six months ended June 30, 2026 and 2025, have been prepared by the Company, pursuant to the rules and regulations of SEC for interim financial statements. Certain information and footnote disclosures normally included in financial statements prepared in accordance with U.S. GAAP have been condensed or omitted pursuant to such rules and regulations. Accordingly, these unaudited interim condensed financial statements should be read in conjunction with the audited financial statements as of and for the years ended December 31, 2025 and 2024, included in the Company’s prospectus filed with the SEC pursuant to Rule 424(b)(4) under the Securities Act of 1933, as amended (Securities Act) on August 7, 2026. In the opinion of management, all adjustments, consisting only of normal recurring adjustments necessary for a fair statement of the Company’s condensed financial position as of June 30, 2026 and condensed results of operations and comprehensive loss, condensed statements of redeemable convertible preferred stock and stockholders’ deficit and condensed cash flows for the three and six months ended June 30, 2026 and 2025 have been made. The results of operations for the three and six months ended June 30, 2026 are not necessarily indicative of the results of operations that may be expected for the full fiscal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unaudited interim condensed financial statements in conformity with U.S. GAAP requires management to make estimates and assumptions that affect the reported amounts and disclosures reported in the unaudited interim condensed financial statements and accompanying notes. These estimates form the basis for judgments the Company makes about the carrying values of assets and liabilities that are not readily apparent from other sources. Management bases its estimates on historical experience and various other relevant assumptions believed to be reasonable under the circumstances. Significant estimates and assumptions reflected within these unaudited interim condensed financial statements include, but are not limited to, useful lives of property and equipment, the rate used in determining the present value of lease payments, fair value of assets and liabilities, research and development accruals, the valuation of the Company’s common stock and stock-based awards granted under the Company’s stock-based compensation plan, the valuation of the preferred stock tranche liability and the fair value of the change of control derivative liability associated with convertible notes, uncertain tax positions and the valuation allowance for deferred income tax assets. Actual results may differ from these estimates and assumptions.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and operating segment. Operating segments are defined as components of an enterprise where separate financial information is evaluated regularly by the chief operating decision maker (CODM) in deciding how to allocate resources and assess performance. The Company’s CODM is the Chief Executive Officer, who reviews financial information on a company-wide basis for purposes of allocating resources and assessing financial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exposed to credit risk in the event of default by the financial institutions holding its cash and cash equivalents to the extent recorded in the balance sheet. Financial instruments, which potentially subject the Company to a concentration of credit risk, consist primarily of cash and cash equivalents. The Company invests its cash equivalents in money market funds. Cash and cash equivalents may be held in financial institutions in amounts that exceed federally insured limits, and the Company has not experienced any losses on such accounts and does not believe it is exposed to any unusual credit risk beyond the normal credit risk associated with commercial banking relationships.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and uncertainties common to early-stage companies in the pharmaceutical and biotechnology industry, including, but not limited to, the outcome of clinical trials, development by competitors of new technological innovations, dependence on key personnel, protection of proprietary technologies, compliance with government regulations, ability to secure additional capital to fund operations, and potential delays associated with the Company’s anticipated and planned trials. 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product candidates, ability to raise additional capital, development of new technological innovations by its competitors and delay or inability to obtain drug substance and finished drug product from the Company’s third-party contract manufacturers necessary for the Company’s product candidates, protection of intellectual property rights, litigation or claims against the Company based on intellectual property rights and regulatory clearance and market acceptance for any of the Company’s product candidates for which the Company receives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currently under development will require significant additional research and development efforts, including extensive preclinical and clinical testing and regulatory approval prior to commercialization of a product.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unaudited interim condensed financial statements in conformity with U.S. GAAP requires management to make estimates and assumptions that affect the amounts reported in the unaudited interim condensed financial statements and accompanying notes. The extent to which the increasing financial market volatility and uncertainty may directly or indirectly impact the unaudited interim condensed financial statements is highly uncertain and subject to change.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original maturities of three months or less from the date of purchase to be cash equivalents. Cash equivalents are reported at fair value. At June 30, 2026 and December 31, 2025, the Company’s cash equivalents are in money market funds.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reconciliation of cash, cash equivalents, and restricted cash reported in the Company's balance sheets to the amount reported within its statements of cash flows was as follows (in thousands):</w:t>
      </w:r>
    </w:p>
    <w:tbl>
      <w:tblPr>
        <w:tblW w:w="6722" w:type="dxa"/>
        <w:jc w:val="left"/>
        <w:tblInd w:w="0" w:type="dxa"/>
        <w:tblLayout w:type="fixed"/>
        <w:tblCellMar>
          <w:top w:w="28" w:type="dxa"/>
          <w:left w:w="28" w:type="dxa"/>
          <w:bottom w:w="28" w:type="dxa"/>
          <w:right w:w="28" w:type="dxa"/>
        </w:tblCellMar>
      </w:tblPr>
      <w:tblGrid>
        <w:gridCol w:w="3946"/>
        <w:gridCol w:w="146"/>
        <w:gridCol w:w="211"/>
        <w:gridCol w:w="676"/>
        <w:gridCol w:w="146"/>
        <w:gridCol w:w="146"/>
        <w:gridCol w:w="299"/>
        <w:gridCol w:w="96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color w:val="000000"/>
          <w:sz w:val="20"/>
        </w:rPr>
        <w:t xml:space="preserve">Restricted cash is comprised of cash that is restricted as to withdrawal or use under the terms of certain contractual agreements. Restricted cash as of June 30, 2026 and December 31, 2025 consists of $0.2 million and </w:t>
      </w:r>
      <w:r>
        <w:rPr>
          <w:rFonts w:ascii="Times New Roman" w:hAnsi="Times New Roman"/>
          <w:color w:val="231F20"/>
          <w:sz w:val="20"/>
        </w:rPr>
        <w:t>$0.3 million, respectively,</w:t>
      </w:r>
      <w:r>
        <w:rPr>
          <w:rFonts w:ascii="Times New Roman" w:hAnsi="Times New Roman"/>
          <w:color w:val="000000"/>
          <w:sz w:val="20"/>
        </w:rPr>
        <w:t xml:space="preserve"> related to the Company’s lease of office space in San Francisco, California. Restricted cash balances are classified as current or non-current based on the expected duration of the restriction.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is recorded at cost, less accumulated depreciation. Depreciation and amortization are computed using the straight-line method over the shorter of estimated useful lives of the assets or the respective lease term. The estimated useful life of each asset category is as follows:</w:t>
      </w:r>
    </w:p>
    <w:tbl>
      <w:tblPr>
        <w:tblW w:w="5994" w:type="dxa"/>
        <w:jc w:val="left"/>
        <w:tblInd w:w="0" w:type="dxa"/>
        <w:tblLayout w:type="fixed"/>
        <w:tblCellMar>
          <w:top w:w="28" w:type="dxa"/>
          <w:left w:w="28" w:type="dxa"/>
          <w:bottom w:w="28" w:type="dxa"/>
          <w:right w:w="28" w:type="dxa"/>
        </w:tblCellMar>
      </w:tblPr>
      <w:tblGrid>
        <w:gridCol w:w="3031"/>
        <w:gridCol w:w="146"/>
        <w:gridCol w:w="2626"/>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 Assets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Life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 and 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remaining lease term</w:t>
              <w:br/>
              <w:t>or estimated useful life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begins at the time the asset is placed in service. Maintenance and repairs are expensed as incurred. Upon sale or retirement of assets, the cost and related accumulated depreciation is removed from the balance sheet and the resulting gains and losses are reflected in the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its long-lived assets for impairment whenever events or changes in circumstances indicate that the carrying value of these assets may not be recoverable. Recoverability of these assets is measured by comparing the carrying amount of each asset to the future undiscounted cash flows the asset is expected to generate over its remaining life. If the asset is considered to be impaired, the amount of any impairment is measured as the difference between the carrying value and the fair value of the impaired asset. There have been no impairments of the Company’s long-lived assets in the periods presented.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inception of a contract, the Company determines whether an arrangement is or contains a lease. For each lease, the Company determines the classification as either an operating lease or a financing lease. Lease recognition occurs at the lease commencement date and lease liability amounts are determined based on the present value of lease payments over the lease term. The lease term may include options to extend or terminate the lease only when it is reasonably certain that the Company will exercise that option.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uses its incremental borrowing rate based on the information available at lease commencement date in determining the present value of lease payments if the Company’s leases do not provide an implicit rate. The Company determines its incremental borrowing rate based on the rate of interest that the Company would have to pay to borrow on a collateralized basis over a similar term, an amount equal to the lease payments in a similar economic environment. Right-of-use (ROU) assets represent the Company's right to use underlying assets for the lease term and operating lease liabilities represent the Company's obligation to make lease payments under the lease. ROU assets are measured as the lease liability plus initial direct costs and prepaid lease payments, less lease incentives granted by the lessor.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elected to apply the practical expedient of combining lease and non-lease components for the real estate lease asset class. Fixed lease payments on operating leases are recognized as lease expense over the expected term of the lease on a straight-line basis. Variable lease expenses that are not considered fixed are recognized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elected the short-term lease practical expedient that allows the lessee to not record a lease liability and ROU asset for all leases with a term of 12 months or 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did not have any material finance leases.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all shares of redeemable convertible preferred stock at their respective fair values on the dates of issuance, less issuance costs and, if applicable, net of preferred stock tranche liabilities. In the event of a deemed liquidation event, the holders of shares of redeemable convertible preferred stock then outstanding shall be entitled to be paid a certain liquidation preference out of the assets of the Company available for distribution to its stockholders. Redeemable convertible preferred stock is classified outside of stockholders’ deficit on the balance sheet as certain deemed liquidation events are not solely within the Company’s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not adjusted the carrying values of its redeemable convertible preferred stock to the liquidation preferences because of the uncertainty of whether or when such an event would occur. As of June 30, 2026 and December 31, 2025, it was not probable that such a deemed liquidation event would occur.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Preferred Stock Tranche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purchase agreements for the Company’s Series B redeemable convertible preferred stock provide the Company an obligation to issue additional shares of Series B redeemable convertible preferred stock in subsequent closings.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obligation to issue additional shares of Series B redeemable convertible preferred stock at a future date was determined to be a freestanding instrument that should be accounted for as a liability. At initial recognition, the Company recorded the preferred stock tranche liability on the balance sheet at fair value. The preferred stock tranche liability is subject to remeasurement at each subsequent reporting date until settled, with changes in fair value recognized as a component of other expense (income) in the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settlement of the preferred stock tranche liability in September 2025 the Company remeasured the preferred stock tranche liability. The preferred stock tranche liability was then settled and the Series B redeemable convertible preferred stock was recorded at fair value, less issuance costs.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Change of Control Derivative Liability</w:t>
      </w:r>
    </w:p>
    <w:p>
      <w:pPr>
        <w:pStyle w:val="TextBody"/>
        <w:bidi w:val="0"/>
        <w:jc w:val="left"/>
        <w:rPr>
          <w:rFonts w:ascii="Times New Roman" w:hAnsi="Times New Roman"/>
          <w:color w:val="000000"/>
          <w:sz w:val="20"/>
        </w:rPr>
      </w:pPr>
      <w:r>
        <w:rPr>
          <w:rFonts w:ascii="Times New Roman" w:hAnsi="Times New Roman"/>
          <w:color w:val="000000"/>
          <w:sz w:val="20"/>
        </w:rPr>
        <w:t>The Series 2026A unsecured convertible promissory notes (the Convertible Notes) contain a change of control repayment premium that is required to be bifurcated from the debt host and accounted for separately as a derivative liability under ASC 815, Derivatives and Hedging. The change of control repayment premium requires the Company to repay the noteholders in cash an amount equal to outstanding principal, unpaid accrued interest, and an additional premium equal to 100% of outstanding principal upon a change of control event. This feature is not clearly and closely related to the debt host because it provides for a repayment amount substantially in excess of par plus accrued interest and is contingently exercisable upon the occurrence of a corporate transaction event. The derivative liability was initially recognized at fair value, with an offsetting debt discount recorded as a reduction of the carrying amount of the Convertible Notes. See Note 7 for further discussion.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derivative liability was estimated using a scenario-based with-and-without analysis that compares the probability-weighted present value of the Convertible Notes including the change of control repayment premium with the probability-weighted present value of the Convertible Notes excluding that feature. The analysis considers multiple potential settlement scenarios, including an initial public offering, a qualified financing, a change of control, repayment at maturity and dissolution. Expected cash flows under each scenario are discounted using rates appropriate for the nature and risk of the applicable settlement scenario.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derivative liability is remeasured at fair value at each reporting date, with changes in fair value recognized in change in fair value of derivative liability in the condensed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consist primarily of costs related to research, design, development, clinical trials, regulatory activities, medical affairs activities, salaries and benefits of research and development personnel, and allocated facility-related expenses. Payments made prior to the receipt of goods and services to be used in research and development are deferred and recognized as expense in the period in which the related goods are received or services are rendered.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entered into various agreements with outsourced contract manufacturing and development vendors. The Company estimates accrued research and development expenses as of each balance sheet date based on facts and circumstances known at that time. At each balance sheet date, the Company confirms the accuracy of its estimates with internal personnel and external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 To date, there have been no material adjustments to the Company’s estimates of accrued research and development expenses.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benefits, including stock-based compensation expense; professional fees for legal, accounting, auditing, tax and consulting services; travel expenses; and facility-related expenses, which include expenses for rent and maintenance of facilities and other operating costs. The Company expenses all general and administrative expenses as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share-based payments at fair value. The grant date fair value of options granted is measured using the Black-Scholes option pricing model. Option awards vest based on the satisfaction of a service requirement and stock-based compensation expense is recorded on a straight-line basis over the applicable service period, which is generally four years. For performance-based stock options, the Company will assess the probability of performance conditions being achieved in each reporting period. The amount of stock-based compensation expense recognized in any one period related to performance-based stock options can vary based on the achievement or anticipated achievement of the performance conditions. Forfeitures are recognized in the period in which the forfeiture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permits certain employees to exercise stock options prior to vesting. Shares issued upon early exercise are subject to a repurchase right that lapses as the underlying options vest. Proceeds received from early exercise of unvested options are recorded as a liability until the underlying shares vest, at which time the liability is reclassified to additional paid-in capital. The early exercise of options does not accelerate recognition of stock-based compensation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the asset and liability approach to account for income taxes. Under this method, deferred tax assets and liabilities are determined based on the difference between the financial statement and income tax bases of assets and liabilities using enacted tax rates in effect for the year in which the differences are expected to affect taxable income. Deferred tax assets are reduced by a valuation allowance if it is more likely than not that these assets may not be realized. The ultimate realization of deferred tax assets is dependent upon the generation of future taxable income during the periods in which the temporary differences representing net future deductible amounts become deductible.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uncertain tax positions taken or expected to be taken on a tax return. Tax positions are initially recognized when it is more likely than not that the position will be sustained upon examination by the tax authorities. Such tax positions are initially and subsequently measured as the largest amount of tax benefit that is more likely than not of being realized upon ultimate settlement with the tax authority, assuming full knowledge of the position and relevant facts. Judgment is required to evaluate uncertain tax positions. The evaluations are based on a number of factors, including changes in facts and circumstances, changes in tax law, correspondence with tax authorities during the course of the audit, and effective settlement of audit issues.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policy is to include penalties and interest expense related to income taxes as a component of income tax expense, as necessary. </w:t>
      </w:r>
    </w:p>
    <w:p>
      <w:pPr>
        <w:pStyle w:val="TextBody"/>
        <w:bidi w:val="0"/>
        <w:spacing w:before="240" w:after="283"/>
        <w:jc w:val="both"/>
        <w:rPr>
          <w:rFonts w:ascii="Times New Roman" w:hAnsi="Times New Roman"/>
          <w:sz w:val="20"/>
        </w:rPr>
      </w:pPr>
      <w:r>
        <w:rPr>
          <w:rFonts w:ascii="Times New Roman" w:hAnsi="Times New Roman"/>
          <w:b/>
          <w:i/>
          <w:color w:val="000000"/>
          <w:sz w:val="20"/>
        </w:rPr>
        <w:t>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represents all changes in stockholders’ deficit except those resulting from distributions to stockholders. There was no difference between net loss and comprehensive loss for the three and six months ended June 30, 2026 and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attributable to common stockholders is calculated by dividing the net loss attributable to common stockholders by the weighted-average number of shares of common stock outstanding during the period, without consideration of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and common stock subject to repurchase related to unvested early exercise of stock options are considered potentially dilutive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 because the impact of potentially dilutive securities would be anti-dilutive.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deferred offering costs consist of legal, accounting and other general and administrative costs directly attributable to the Company’s IPO. As of June 30, 2026, $3.3 million of deferred offering costs were included within other assets in the unaudited interim condensed balance sheet. As of December 31, 2025, there were no deferred offering costs. In connection with the Company’s IPO in August 2026, the deferred offering costs were reclassified against the IPO proceeds to additional paid-in capital in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an “emerging growth company,” as defined in the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2024, the FASB issued ASU No. 2024-03, Income Statement</w:t>
      </w:r>
      <w:r>
        <w:rPr>
          <w:rFonts w:ascii="Times New Roman" w:hAnsi="Times New Roman"/>
          <w:color w:val="231F20"/>
          <w:sz w:val="20"/>
        </w:rPr>
        <w:t>—</w:t>
      </w:r>
      <w:r>
        <w:rPr>
          <w:rFonts w:ascii="Times New Roman" w:hAnsi="Times New Roman"/>
          <w:color w:val="000000"/>
          <w:sz w:val="20"/>
        </w:rPr>
        <w:t>Reporting Comprehensive Income</w:t>
      </w:r>
      <w:r>
        <w:rPr>
          <w:rFonts w:ascii="Times New Roman" w:hAnsi="Times New Roman"/>
          <w:color w:val="231F20"/>
          <w:sz w:val="20"/>
        </w:rPr>
        <w:t>—</w:t>
      </w:r>
      <w:r>
        <w:rPr>
          <w:rFonts w:ascii="Times New Roman" w:hAnsi="Times New Roman"/>
          <w:color w:val="000000"/>
          <w:sz w:val="20"/>
        </w:rPr>
        <w:t>Expense Disaggregation Disclosures (Subtopic 220-40), which requires that a public entity disclose the amounts of (a) purchases of inventory, (b) employee compensation, (c) depreciation and (d) intangible asset amortization included in each relevant expense caption presented on the face of the income statement. The standard also requires an entity to disclose a qualitative description of the amounts remaining in relevant expense captions that are not separately disaggregated quantitatively as well as disclose the total amount of selling expenses and, annually, the entity’s definition of selling expenses. ASU 2024-03 will be effective for annual periods beginning after December 15, 2026 and interim periods within fiscal years beginning after December 15, 2027, with either retrospective or prospective application. The standard allows for early adoption of these requirements; the Company is currently evaluating the disclosure impacts of its adoption.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Financial instruments include cash and cash equivalents, accounts payable and accrued expenses that approximate fair value due to their relatively short maturities.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three-tier fair value hierarchy for disclosure of fair value measurements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1—Inputs are unadjusted, quoted prices in active markets for identical assets or liabilities at the measurement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that are significant to the measurement of the fair value of the assets or liabilities that are supported by little or no market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of the Company’s financial instruments for the periods ended June 30, 2026 and December 31, 2025, other than the change-of-control derivative liability, approximate fair value due to their relatively short maturities.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Assets and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financial assets and liabilities measured at fair value on a recurring basis by level within the fair value hierarchy (in thousands):</w:t>
      </w:r>
    </w:p>
    <w:tbl>
      <w:tblPr>
        <w:tblW w:w="9601" w:type="dxa"/>
        <w:jc w:val="left"/>
        <w:tblInd w:w="0" w:type="dxa"/>
        <w:tblLayout w:type="fixed"/>
        <w:tblCellMar>
          <w:top w:w="28" w:type="dxa"/>
          <w:left w:w="28" w:type="dxa"/>
          <w:bottom w:w="28" w:type="dxa"/>
          <w:right w:w="28" w:type="dxa"/>
        </w:tblCellMar>
      </w:tblPr>
      <w:tblGrid>
        <w:gridCol w:w="1801"/>
        <w:gridCol w:w="146"/>
        <w:gridCol w:w="2476"/>
        <w:gridCol w:w="146"/>
        <w:gridCol w:w="239"/>
        <w:gridCol w:w="767"/>
        <w:gridCol w:w="146"/>
        <w:gridCol w:w="146"/>
        <w:gridCol w:w="392"/>
        <w:gridCol w:w="644"/>
        <w:gridCol w:w="146"/>
        <w:gridCol w:w="146"/>
        <w:gridCol w:w="392"/>
        <w:gridCol w:w="644"/>
        <w:gridCol w:w="146"/>
        <w:gridCol w:w="146"/>
        <w:gridCol w:w="211"/>
        <w:gridCol w:w="676"/>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set forth the fair value of the Company's financial assets, which consist of cash equivalents, that were measured on a recurring basis (in thousands):</w:t>
      </w:r>
    </w:p>
    <w:tbl>
      <w:tblPr>
        <w:tblW w:w="9601" w:type="dxa"/>
        <w:jc w:val="left"/>
        <w:tblInd w:w="0" w:type="dxa"/>
        <w:tblLayout w:type="fixed"/>
        <w:tblCellMar>
          <w:top w:w="28" w:type="dxa"/>
          <w:left w:w="28" w:type="dxa"/>
          <w:bottom w:w="28" w:type="dxa"/>
          <w:right w:w="28" w:type="dxa"/>
        </w:tblCellMar>
      </w:tblPr>
      <w:tblGrid>
        <w:gridCol w:w="1801"/>
        <w:gridCol w:w="146"/>
        <w:gridCol w:w="2476"/>
        <w:gridCol w:w="146"/>
        <w:gridCol w:w="239"/>
        <w:gridCol w:w="767"/>
        <w:gridCol w:w="146"/>
        <w:gridCol w:w="146"/>
        <w:gridCol w:w="392"/>
        <w:gridCol w:w="644"/>
        <w:gridCol w:w="146"/>
        <w:gridCol w:w="146"/>
        <w:gridCol w:w="392"/>
        <w:gridCol w:w="644"/>
        <w:gridCol w:w="146"/>
        <w:gridCol w:w="146"/>
        <w:gridCol w:w="211"/>
        <w:gridCol w:w="676"/>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There has been no transfer between levels of the fair value measurement hierarchy during the periods presented.</w:t>
      </w:r>
    </w:p>
    <w:p>
      <w:pPr>
        <w:pStyle w:val="TextBody"/>
        <w:bidi w:val="0"/>
        <w:jc w:val="both"/>
        <w:rPr>
          <w:rFonts w:ascii="Times New Roman" w:hAnsi="Times New Roman"/>
          <w:b/>
          <w:i/>
          <w:color w:val="000000"/>
          <w:sz w:val="20"/>
        </w:rPr>
      </w:pPr>
      <w:r>
        <w:rPr>
          <w:rFonts w:ascii="Times New Roman" w:hAnsi="Times New Roman"/>
          <w:b/>
          <w:i/>
          <w:color w:val="000000"/>
          <w:sz w:val="20"/>
        </w:rPr>
        <w:t>Change of Control Derivative Liability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fair value of the change of control derivative liability was estimated using a scenario-based analysis comparing the probability-weighted present value of the Convertible Notes with and without the bifurcated change of control premium feature. The Company employed a probability-weighted approach that evaluated multiple settlement scenarios, including automatic conversion upon an initial public offering, automatic conversion upon a qualified financing, contingent cash repayment upon a change of control event, repayment at maturity, and dissolution. For each scenario, the Company estimated the applicable settlement amount, discounted the expected settlement amount to the valuation date and applied a probability weighting. The fair value of the embedded derivative was determined as the difference between the probability-weighted value of the Convertible Notes with and without the change of control repayment premium.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significant unobservable input used in the fair value measurement of the change of control derivative liability is the probability assigned to a change of control event occurring while the Convertible Notes remain outstanding, which was estimated at 15% as of both the issuance date and June 30, 2026. Changes in this probability would have the most direct impact on the fair value of the derivative liability; an increase in the probability of a change of control would increase the fair value of the liability, while a decrease would reduce it.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provides a roll forward of the fair value of the change of control derivative liability measured at fair value on a recurring basis using Level 3 significant unobservable inputs (in thousands):</w:t>
      </w:r>
    </w:p>
    <w:tbl>
      <w:tblPr>
        <w:tblW w:w="6008" w:type="dxa"/>
        <w:jc w:val="left"/>
        <w:tblInd w:w="0" w:type="dxa"/>
        <w:tblLayout w:type="fixed"/>
        <w:tblCellMar>
          <w:top w:w="28" w:type="dxa"/>
          <w:left w:w="28" w:type="dxa"/>
          <w:bottom w:w="28" w:type="dxa"/>
          <w:right w:w="28" w:type="dxa"/>
        </w:tblCellMar>
      </w:tblPr>
      <w:tblGrid>
        <w:gridCol w:w="4861"/>
        <w:gridCol w:w="146"/>
        <w:gridCol w:w="218"/>
        <w:gridCol w:w="592"/>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in connection with convertible notes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Preferred Stock Tranche Liability</w:t>
      </w:r>
    </w:p>
    <w:p>
      <w:pPr>
        <w:pStyle w:val="TextBody"/>
        <w:bidi w:val="0"/>
        <w:jc w:val="left"/>
        <w:rPr>
          <w:rFonts w:ascii="Times New Roman" w:hAnsi="Times New Roman"/>
          <w:color w:val="000000"/>
          <w:sz w:val="20"/>
        </w:rPr>
      </w:pPr>
      <w:r>
        <w:rPr>
          <w:rFonts w:ascii="Times New Roman" w:hAnsi="Times New Roman"/>
          <w:color w:val="000000"/>
          <w:sz w:val="20"/>
        </w:rPr>
        <w:t>The fair value of the preferred stock tranche liability was based on significant inputs not observable in the market, which represents a Level 3 measurement within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preferred stock tranche liability was valued as a forward contract. The value was determined using a probability-weighted present value calculation. In determining the fair value of the preferred stock tranche liability obligation, estimates and assumptions impacting the fair value included the per share estimated fair value of the Company’s Series B redeemable convertible preferred stock, discount rates, estimated time to tranche closing, and probability of the second tranche closing.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reflects the significant quantitative inputs used in the valuation of the preferred stock tranche liability at the initial and the subsequent closings of the Series B preferred stock financing in 2025. There were no significant changes in fair value or the underlying assumptions between March 2025 measurement date and June 30, 2025:</w:t>
      </w:r>
    </w:p>
    <w:tbl>
      <w:tblPr>
        <w:tblW w:w="7978" w:type="dxa"/>
        <w:jc w:val="left"/>
        <w:tblInd w:w="0" w:type="dxa"/>
        <w:tblLayout w:type="fixed"/>
        <w:tblCellMar>
          <w:top w:w="28" w:type="dxa"/>
          <w:left w:w="28" w:type="dxa"/>
          <w:bottom w:w="28" w:type="dxa"/>
          <w:right w:w="28" w:type="dxa"/>
        </w:tblCellMar>
      </w:tblPr>
      <w:tblGrid>
        <w:gridCol w:w="5671"/>
        <w:gridCol w:w="146"/>
        <w:gridCol w:w="234"/>
        <w:gridCol w:w="517"/>
        <w:gridCol w:w="271"/>
        <w:gridCol w:w="146"/>
        <w:gridCol w:w="211"/>
        <w:gridCol w:w="466"/>
        <w:gridCol w:w="316"/>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Initial closing</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January</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Implied fair value of Series B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tranche closing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tranche closing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provides a roll forward of the fair value of the preferred stock tranche liability measured at fair value on a recurring basis using Level 3 significant unobservable inputs (in thousands):</w:t>
      </w:r>
    </w:p>
    <w:tbl>
      <w:tblPr>
        <w:tblW w:w="3703" w:type="dxa"/>
        <w:jc w:val="left"/>
        <w:tblInd w:w="0" w:type="dxa"/>
        <w:tblLayout w:type="fixed"/>
        <w:tblCellMar>
          <w:top w:w="28" w:type="dxa"/>
          <w:left w:w="28" w:type="dxa"/>
          <w:bottom w:w="28" w:type="dxa"/>
          <w:right w:w="28" w:type="dxa"/>
        </w:tblCellMar>
      </w:tblPr>
      <w:tblGrid>
        <w:gridCol w:w="2536"/>
        <w:gridCol w:w="146"/>
        <w:gridCol w:w="270"/>
        <w:gridCol w:w="540"/>
        <w:gridCol w:w="21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preferred stock tranche liability was settled in September 2025, upon the closing of the second tranche.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Balance Sheet Components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tbl>
      <w:tblPr>
        <w:tblW w:w="7455" w:type="dxa"/>
        <w:jc w:val="left"/>
        <w:tblInd w:w="0" w:type="dxa"/>
        <w:tblLayout w:type="fixed"/>
        <w:tblCellMar>
          <w:top w:w="28" w:type="dxa"/>
          <w:left w:w="28" w:type="dxa"/>
          <w:bottom w:w="28" w:type="dxa"/>
          <w:right w:w="28" w:type="dxa"/>
        </w:tblCellMar>
      </w:tblPr>
      <w:tblGrid>
        <w:gridCol w:w="4756"/>
        <w:gridCol w:w="146"/>
        <w:gridCol w:w="218"/>
        <w:gridCol w:w="592"/>
        <w:gridCol w:w="146"/>
        <w:gridCol w:w="146"/>
        <w:gridCol w:w="339"/>
        <w:gridCol w:w="921"/>
        <w:gridCol w:w="1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Research Organizations (CRO)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tbl>
      <w:tblPr>
        <w:tblW w:w="5635" w:type="dxa"/>
        <w:jc w:val="left"/>
        <w:tblInd w:w="0" w:type="dxa"/>
        <w:tblLayout w:type="fixed"/>
        <w:tblCellMar>
          <w:top w:w="28" w:type="dxa"/>
          <w:left w:w="28" w:type="dxa"/>
          <w:bottom w:w="28" w:type="dxa"/>
          <w:right w:w="28" w:type="dxa"/>
        </w:tblCellMar>
      </w:tblPr>
      <w:tblGrid>
        <w:gridCol w:w="2896"/>
        <w:gridCol w:w="146"/>
        <w:gridCol w:w="218"/>
        <w:gridCol w:w="592"/>
        <w:gridCol w:w="166"/>
        <w:gridCol w:w="146"/>
        <w:gridCol w:w="339"/>
        <w:gridCol w:w="92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$0.1 million for the three and six months ended June 30, 2026. Depreciation expense was $0.1 million for the three and six months ended June 30, 2025.</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037"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99"/>
        <w:gridCol w:w="9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2021, the Company entered into an operating lease for 7,638 square feet of office and research and development space in Thousand Oaks, California. The lease term is for approximately 5.3 years, with no renewal option.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2025, the Company entered into a lease for 2,375 square feet of office space in San Francisco, California, that is set to expire on July 31,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2026, the Company entered into a First Amendment to the lease (the "Lease Amendment") to expand its existing leased office and laboratory space located in Thousand Oaks, California. Pursuant to the Lease Amendment, the Company expanded the leased premises to include an additional approximately 3,700 rentable square feet. The expansion premises commenced on April 1, 2026, and the Lease Amendment extends the lease term to June 30, 2028. The Company remeasured the lease liability and right-of-use asset as of April 1, 2026, using an incremental borrowing rate of 12.62%, reflecting the increase in future lease payments resulting from the Lease Amendment. The remeasurement resulted in an increase of $1.0 million to the lease liability and a corresponding increase to the right-of-use asset.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of payments for services provided or expenses incurred up to the date of cancellation and may include termination penalties or non-cancellable fees. Under such agreements, the exact amounts owed by the Company in the event of termination will be based on the timing of the termination and the exact terms of the agreement. If cancelled, these contracts are not anticipated to have a material effect on the Company’s financial condition, results of operations, or cash flows.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License Agreement with Lieber Institute, Inc.</w:t>
      </w:r>
    </w:p>
    <w:p>
      <w:pPr>
        <w:pStyle w:val="TextBody"/>
        <w:bidi w:val="0"/>
        <w:spacing w:lineRule="auto" w:line="360"/>
        <w:jc w:val="left"/>
        <w:rPr>
          <w:rFonts w:ascii="Times New Roman" w:hAnsi="Times New Roman"/>
          <w:sz w:val="13"/>
        </w:rPr>
      </w:pPr>
      <w:r>
        <w:rPr>
          <w:rFonts w:ascii="Times New Roman" w:hAnsi="Times New Roman"/>
          <w:color w:val="000000"/>
          <w:sz w:val="20"/>
        </w:rPr>
        <w:t>In July 2020, the Company entered into a License Agreement with Lieber Institute, Inc. (d/b/a: Lieber Institute for Brain Development), or LIBD, which was subsequently amended in August 2020 and January 2022. Pursuant to the license agreement, LIBD granted to the Company a worldwide, exclusive, sub-licensable and royalty-bearing license, under certain patent and other intellectual property rights owned or controlled by LIBD, including patents claiming compounds for inhibiting Na</w:t>
      </w:r>
      <w:r>
        <w:rPr>
          <w:rFonts w:ascii="Times New Roman" w:hAnsi="Times New Roman"/>
          <w:color w:val="000000"/>
          <w:sz w:val="13"/>
        </w:rPr>
        <w:t>v</w:t>
      </w:r>
      <w:r>
        <w:rPr>
          <w:rFonts w:ascii="Times New Roman" w:hAnsi="Times New Roman"/>
          <w:color w:val="000000"/>
          <w:sz w:val="20"/>
        </w:rPr>
        <w:t>1.8, to make, use, sell, offer to sell, import, research, develop, and commercialize products that contain any compound that is disclosed or claimed in any of the licensed patents or is developed by LIBD and is directed to or interacting with Na</w:t>
      </w:r>
      <w:r>
        <w:rPr>
          <w:rFonts w:ascii="Times New Roman" w:hAnsi="Times New Roman"/>
          <w:color w:val="000000"/>
          <w:sz w:val="13"/>
        </w:rPr>
        <w:t>v</w:t>
      </w:r>
      <w:r>
        <w:rPr>
          <w:rFonts w:ascii="Times New Roman" w:hAnsi="Times New Roman"/>
          <w:color w:val="000000"/>
          <w:sz w:val="20"/>
        </w:rPr>
        <w:t>1.8, provided that such products are claimed by the licensed patents (Licensed Products) for any and all uses and applications, including all diagnostic, prophylactic and therapeutic uses. The Company has the right, subject to certain time limitations, to elect to expand its exclusive license to include LIBD’s patents and other intellectual property rights for new compounds discovered by LIBD that were not disclosed or claimed in the licensed patents as of July 2020 and that target or interact with Na</w:t>
      </w:r>
      <w:r>
        <w:rPr>
          <w:rFonts w:ascii="Times New Roman" w:hAnsi="Times New Roman"/>
          <w:color w:val="000000"/>
          <w:sz w:val="13"/>
        </w:rPr>
        <w:t>v</w:t>
      </w:r>
      <w:r>
        <w:rPr>
          <w:rFonts w:ascii="Times New Roman" w:hAnsi="Times New Roman"/>
          <w:color w:val="000000"/>
          <w:sz w:val="20"/>
        </w:rPr>
        <w:t>1.8. Pursuant to the terms of the license agreement, the Company must use commercially reasonable efforts to develop a Licensed Product and commercialize such Licensed Product in each jurisdiction in which regulatory approval is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the license and other rights granted to the Company by LIBD, on September 23, 2020 the Company issued 434,840 shares of Series A redeemable convertible preferred stock equal to a mid-single digit percentage of the Company’s equity capital, on a fully diluted basis, following the Company’s initial closing of the Series A redeemable convertible preferred stock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milestone and royalty payment obligations under the license vary depending upon whether the Licensed Product is covered by at least one valid claim of a licensed patent that is solely owned by LIBD, or a Sole Product, or the Licensed Product is only covered by valid claims of licensed patents that the Company jointly owns with LIBD, or a Joint Product. The Company has concluded its development candidate known as onzotrigine is a Joint Product. The Company has concluded it is not currently developing any Licensed Products that are Sole Products, and the Company does not have any current intentions to develop any Licensed Products that are Sole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agreed to pay LIBD up to an aggregate of $48.5 million upon the achievement of pre-specified development and regulatory milestones with respect to the first Sole Product, up to an aggregate of $23.75 million for each subsequent Sole Product, and up to an aggregate of $95.0 million upon the achievement of pre-specified sales milestones with respect to all Sole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first Joint Product, the Company has agreed to pay LIBD up to an aggregate of $4.0 million upon the achievement of pre-specified regulatory milestones, and up to an aggregate of $9.5 million upon the achievement of pre-specified sales milestones; the Company does not have any milestone payment obligations for subsequent Joint Products. No milestones have been achieved to date under this license agreement for any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must also pay LIBD royalties on the net sales of Licensed Products. The royalty rates for Sole Products are tiered and range from low-single digit to mid-single digit percentages, and the royalty rate for Joint Products is a low-single digit percentage. The royalty payments are subject to reduction if, on a Licensed Product-by-Licensed Product and country-by-country basis, there are no valid patent claims covering the Licensed Product in such country or if the Company makes certain payments to third parties for intellectual property licenses, all subject to a customary royalty floor. The royalty term will terminate on a Licensed Product-by-Licensed Product and country-by-country basis on the latest of (i) a specified number of years after first commercial sale of such Licensed Product in such country, (ii) the expiration of the last valid claim of a licensed patent that covers such Licensed Product in such country and (iii) the earlier of expiration of regulatory exclusivity or the first commercial sale of a generic product referencing such Licensed Product in such country. If the Company sublicenses its rights to Sole Products or licensed patents solely owned by LIBD, then it must pay LIBD a low double-digit percentage of non-royalty sublicensing revenue received from sublicensees for rights to Sole Products and a low single-digit percentage of non-royalty sublicensing revenue from sublicensees for rights to Joint Products or jointly-owned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license agreement shall expire on a country-by-country and Licensed Product-by-Licensed Product basis upon the expiration of the royalty term for such Licensed Product in such country. Upon expiration of the royalty term with respect to a Licensed Product in a country, the Company will have a fully paid-up, irrevocable, perpetual license with respect to such Licensed Product in such country.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Either party may terminate the license agreement if the other party commits a material breach of the agreement and fails to cure that breach within the applicable specified period. The Company may terminate the license agreement in its entirety or on a country-by-country basis upon a specified prior notice period. LIBD may terminate the license agreement if the Company or its affiliate or sublicensee initiates an action challenging the validity or enforceability of any licensed patents or if the Company fails to use commercially reasonable efforts to develop or commercialize a Licensed Product for a specified period, do not submit a written diligence plan to LIBD for its approval and do not initiate such LIBD-approved plan to cure the failure within a specified period. Upon termination, all rights and licenses granted to the Company shall terminate and revert back to LIBD, and under certain circumstances LIBD will have an exclusive, time-limited right to negotiate the terms of a license to certain of the Company’s intellectual property, data and regulatory approvals for the Licensed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Company determined that the acquired licensed technology had no alternative future use, no intangible asset was recognized on the balance sheet.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fees are expensed in the period in which they are incurred. As of June 30, 2026, the Company was not a party to any material legal proceedings or claims and no liabilities were recorded for loss contingencies.</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Company is also party to indemnification agreements with its officers and directors. In some cases, the indemnification will continue after the termination of the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maximum potential amount of future payments that the Company could be required to make under these provisions is not determinable. The Company is not currently aware of any indemnification claims. Accordingly, the Company has not recorded any liabilities for these indemnification rights and agreements in these unaudited interim condensed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Convertible Notes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June 2026, the Company issued Convertible Notes to various holders in the aggregate principal amount of $35.0 million. The Company received gross cash proceeds of $35.0 million and incurred approximately $0.2 million of debt issuance costs, which remained unpaid as of June 30,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Convertible Notes are due and payable in full in June 2027, which is twelve months from the issuance date. Upon completion of an initial public offering, the outstanding principal and unpaid accrued interest under the Convertible Notes automatically convert into shares of the Company’s common stock at the price per share in the IPO. In the event the Company completes a qualified financing (defined as a preferred stock financing in which the Company receives proceeds of at least $50.0 million), the outstanding principal and unpaid accrued interest under the Convertible Notes automatically convert into preferred stock issued in the qualified financing at the lowest cash price paid by investors in that financing. Further, upon a change of control while the Convertible Notes remain outstanding, the Company is required to repay each holder in cash an amount equal to the outstanding principal and unpaid accrued interest, plus a repayment premium equal to 100% of the outstanding principal.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Convertible Notes accrue interest at the rate of 5.0% per annum. Interest accrues daily from the issuance date and continues to accrue until the Convertible Notes are paid, converted, or repaid.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Convertible Notes contain a change of control repayment premium that qualifies as an embedded derivative under ASC 815, Derivatives and Hedging, and must be bifurcated and accounted for separately. The derivative liability was initially recognized at its estimated fair value of $5.1 million, with an offsetting debt discount recorded as a reduction of the carrying amount of the Convertible Notes. There was no change in the estimated fair value of the derivative liability from the issuance date through June 30, 2026; accordingly, no gain or loss was recognized in the condensed statements of operations and comprehensive loss for the three and six months ended June 30, 2026.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debt discount and debt issuance costs allocated to the debt are presented as direct deductions from the principal amount of the Convertible Notes and are amortized over the expected term of the Convertible Notes using the effective interest method.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June 30, 2026, the aggregate principal balance due under the Convertible Notes was $35.0 million. The Convertible Notes were classified as a current liability because their contractual maturity date was within twelve months of June 30,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the Convertible Notes as of June 30, 2026 were as follows (in thousands):</w:t>
      </w:r>
    </w:p>
    <w:tbl>
      <w:tblPr>
        <w:tblW w:w="4335" w:type="dxa"/>
        <w:jc w:val="left"/>
        <w:tblInd w:w="0" w:type="dxa"/>
        <w:tblLayout w:type="fixed"/>
        <w:tblCellMar>
          <w:top w:w="28" w:type="dxa"/>
          <w:left w:w="28" w:type="dxa"/>
          <w:bottom w:w="28" w:type="dxa"/>
          <w:right w:w="28" w:type="dxa"/>
        </w:tblCellMar>
      </w:tblPr>
      <w:tblGrid>
        <w:gridCol w:w="3091"/>
        <w:gridCol w:w="146"/>
        <w:gridCol w:w="211"/>
        <w:gridCol w:w="676"/>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Immediately prior to the closing of the Company's IPO in August 2026, the Convertible Notes automatically converted into 1,957,755 shares of common stock. The principal and accrued but unpaid interest outstanding under Convertible Notes at the time of conversion was $35.2 million.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Immediately prior to the closing of the Company's IPO in August 2026, the Company’s outstanding redeemable convertible preferred stock automatically converted into 41,155,082 shares of common stock.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redeemable convertible preferred stock consisted of the following as of June 30, 2026 and December 31, 2025 (in thousands, except share and per share amounts):</w:t>
      </w:r>
    </w:p>
    <w:tbl>
      <w:tblPr>
        <w:tblW w:w="8451" w:type="dxa"/>
        <w:jc w:val="left"/>
        <w:tblInd w:w="0" w:type="dxa"/>
        <w:tblLayout w:type="fixed"/>
        <w:tblCellMar>
          <w:top w:w="28" w:type="dxa"/>
          <w:left w:w="28" w:type="dxa"/>
          <w:bottom w:w="28" w:type="dxa"/>
          <w:right w:w="28" w:type="dxa"/>
        </w:tblCellMar>
      </w:tblPr>
      <w:tblGrid>
        <w:gridCol w:w="1036"/>
        <w:gridCol w:w="146"/>
        <w:gridCol w:w="146"/>
        <w:gridCol w:w="1141"/>
        <w:gridCol w:w="146"/>
        <w:gridCol w:w="146"/>
        <w:gridCol w:w="185"/>
        <w:gridCol w:w="1315"/>
        <w:gridCol w:w="146"/>
        <w:gridCol w:w="146"/>
        <w:gridCol w:w="274"/>
        <w:gridCol w:w="746"/>
        <w:gridCol w:w="146"/>
        <w:gridCol w:w="146"/>
        <w:gridCol w:w="236"/>
        <w:gridCol w:w="875"/>
        <w:gridCol w:w="146"/>
        <w:gridCol w:w="146"/>
        <w:gridCol w:w="211"/>
        <w:gridCol w:w="781"/>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Issued</w:t>
              <w:br/>
              <w:t>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Seed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51,727,645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111,273,075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95,364,030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14,844,011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264,397,134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41,155,082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451" w:type="dxa"/>
        <w:jc w:val="left"/>
        <w:tblInd w:w="0" w:type="dxa"/>
        <w:tblLayout w:type="fixed"/>
        <w:tblCellMar>
          <w:top w:w="28" w:type="dxa"/>
          <w:left w:w="28" w:type="dxa"/>
          <w:bottom w:w="28" w:type="dxa"/>
          <w:right w:w="28" w:type="dxa"/>
        </w:tblCellMar>
      </w:tblPr>
      <w:tblGrid>
        <w:gridCol w:w="1036"/>
        <w:gridCol w:w="146"/>
        <w:gridCol w:w="146"/>
        <w:gridCol w:w="1141"/>
        <w:gridCol w:w="146"/>
        <w:gridCol w:w="146"/>
        <w:gridCol w:w="185"/>
        <w:gridCol w:w="1315"/>
        <w:gridCol w:w="146"/>
        <w:gridCol w:w="146"/>
        <w:gridCol w:w="274"/>
        <w:gridCol w:w="746"/>
        <w:gridCol w:w="146"/>
        <w:gridCol w:w="146"/>
        <w:gridCol w:w="236"/>
        <w:gridCol w:w="875"/>
        <w:gridCol w:w="146"/>
        <w:gridCol w:w="146"/>
        <w:gridCol w:w="211"/>
        <w:gridCol w:w="781"/>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Issued</w:t>
              <w:br/>
              <w:t>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Liquidation</w:t>
              <w:b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Seed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51,727,645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111,273,075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95,364,030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14,844,011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264,397,134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41,155,082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the Company entered into a Series B redeemable convertible preferred stock purchase agreement (the Series B Purchase Agreement), pursuant to which it issued a total of 9,896,006 shares of Series B redeemable convertible preferred stock at a price of $10.1050 per share for gross cash proceeds of $100.0 million and incurred aggregate issuance costs of $0.6 million in two closings in January and March 2025 (initial closing).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Series B Purchase Agreement provided the Company an obligation to issue an additional 4,948,005 shares of Series B redeemable convertible preferred stock (preferred stock tranche liability) at a price of $10.1050 per share in a subsequent closing on or before September 30, 2025. Upon the initial closing of the Series B redeemable convertible preferred stock, the Company recorded a preferred stock tranche liability of $0.4 million. The fair value of the preferred stock tranche liability was allocated from the gross cash proceeds of $100.0 million of the Series B redeemable convertible preferred stock issuance, and the residual value was then allocated to the Series B redeemable convertible preferred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pursuant to the terms outlined in the Series B Purchase Agreement and upon approval by the Board of Directors, the Company settled the preferred stock tranche liability, issuing 4,948,005 shares of Series B redeemable convertible preferred stock at a price of $10.1050 per share for gross cash proceeds of $50.0 million and incurred issuance cost of $0.1 million. As a result of this issuance, the preferred stock tranche liability of $2.1 million was settled and the Series B redeemable convertible preferred stock was recorded at its fair value of $52.1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was authorized to issue 342,000,000 shares of $0.0001 par value common stock. Common stockholders are entitled to one vote per share on all matters to be voted on by the stockholders of the Company and are entitled to dividends, if and when declared by the Board of Directors, subject to the priority rights of holders of the redeemable convertible preferred stock. As of June 30, 2026 and December 31, 2025, no dividends were declared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2026, the Company completed its IPO. In connection with the Company's IPO, the Company issued and sold 22,080,000 shares of its common stock at the IPO Price, including 2,880,000 additional shares of its common stock pursuant to the exercise in full by the underwriters of their option to purchase shares of common stock from the Company at the IPO Price. As a result, the Company received approximately $363.9 million in net proceeds, after deducting underwriting discounts and commissions and other offering costs payable by the Company of approximately $33.6 million.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Common stock reserved for future issuance, on an as-converted to common stock basis, as of June 30, 2026 and December 31, 2025, consisted of the following:</w:t>
      </w:r>
    </w:p>
    <w:tbl>
      <w:tblPr>
        <w:tblW w:w="6837" w:type="dxa"/>
        <w:jc w:val="left"/>
        <w:tblInd w:w="0" w:type="dxa"/>
        <w:tblLayout w:type="fixed"/>
        <w:tblCellMar>
          <w:top w:w="28" w:type="dxa"/>
          <w:left w:w="28" w:type="dxa"/>
          <w:bottom w:w="28" w:type="dxa"/>
          <w:right w:w="28" w:type="dxa"/>
        </w:tblCellMar>
      </w:tblPr>
      <w:tblGrid>
        <w:gridCol w:w="3766"/>
        <w:gridCol w:w="146"/>
        <w:gridCol w:w="146"/>
        <w:gridCol w:w="1036"/>
        <w:gridCol w:w="146"/>
        <w:gridCol w:w="146"/>
        <w:gridCol w:w="155"/>
        <w:gridCol w:w="1105"/>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41,155,082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9,179,303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authorized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1,558,349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51,782,985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51,892,734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2019 Stock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2019, the Company adopted the Latigo Biotherapeutics, Inc., 2019 Stock Plan (the 2019 Plan), which authorizes the Company to grant incentive stock options (ISOs), non-qualified stock options (NSOs) and the direct award or sale of shares to employees, directors and consultants of the Company. ISOs can only be granted to employees. The 2019 Plan is administered by the Board of Directors, or the Board of Directors may appoint a committee to which it delegates such administration.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2019 Plan shall terminate automatically ten years after the date when the Board of Directors approved the most recent increase in the number of shares reserved under the 2019 Plan. As of June 30, 2026 and December 31, 2025, there were approximately 71.2 million shares of common stock authorized, and 0.7 million and 1.6 million shares of common stock available for future issuance pursuant to the 2019 Plan,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Option awards generally vest over a four-year period, with either 25% vesting on the first anniversary of the grant date and monthly thereafter or with monthly vesting over the four-year period. The exercise price of stock options granted under the 2019 Plan must be at least equal to the fair market value of the common stock on the date of grant. The term of option awards is determined by the Board of Directors and shall not exceed 10 years from grant date, or in the case of ISOs granted to a ten percent stockholder, the term is no more than 5 years from the grant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2026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the Board of Directors adopted the 2026 Equity Incentive Plan (the 2026 Plan), which was subsequently adopted by the Stockholders in July 2026. No awards were permitted to be granted under the 2026 Plan until the Company’s Registration Statement on Form S-1 was declared effective by the SEC on August 6, 2026 in connection with the Company’s IPO. The 2026 Plan allows for the issuance of equity-based and cash-based incentive awards to the Company's officers, employees, directors and consultants. The 2026 Plan is administered by the Board of Directors or a committee thereof (the Plan Administrator). The exercise prices, vesting and other restrictions are determined at the discretion of the Plan Administrator, subject to the provisions of the 2026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maximum number of shares of common stock that may be issued under the 2026 Plan is 14,611,431 shares, which is the sum of: (i) 3,764,069 new shares, plus (ii) 1,004,213 shares available for issuance under the 2019 Plan, plus (iii) up to 9,843,149 returning shares as such shares become available from time to time. The 2026 Plan provides that the number of shares reserved and available for issuance under the 2026 Plan will automatically increase on January 1st of each year, commencing on January 1, 2027 and ending on (and including) January 1, 2036, by an amount equal to the lesser of (i) 5% of the total number of shares of Fully Diluted Capital Stock (as defined in the 2026 Plan) outstanding on December 31st of the preceding calendar year, or (ii) such smaller number of shares of Common Stock as the Board of Directors may designate prior to the applicable January 1st, subject to adjustment as provided in the 2026 Plan. As of June 30, 2026, no awards had been granted under the 2026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2026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2026, the Board of Directors adopted the 2026 Employee Stock Purchase Plan (the 2026 ESPP), which was subsequently approved by the Company’s stockholders in July 2026 and became effective on August 5, 2026, the date immediately prior to the date SEC declared the Company’s Registration Statement on Form S-1 effective. The 2026 ESPP initially reserved and authorized the issuance of up to a total of 627,345 shares of the Company’s common stock to participating employees. The 2026 ESPP provides that the number of shares reserved and available for issuance will be automatically increased on January 1st of each year, commencing on January 1, 2027 and ending on (and including) January 1, 2036, in an amount equal to the lesser of (i) 1.0% of the total number of shares of Fully Diluted Capital Stock (as defined in the 2026 ESPP) outstanding on December 31st of the preceding calendar year, (ii) 1,882,035 shares of Common Stock or (iii) such smaller number of shares of Common Stock as the Board of Directors may designate prior to the applicable January 1st. As of June 30, 2026, no shares were issued or sold under the 2026 ESPP.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tables summarize the Company’s option activity for the 2019 Plan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3993"/>
        <w:gridCol w:w="346"/>
        <w:gridCol w:w="146"/>
        <w:gridCol w:w="931"/>
        <w:gridCol w:w="166"/>
        <w:gridCol w:w="146"/>
        <w:gridCol w:w="358"/>
        <w:gridCol w:w="795"/>
        <w:gridCol w:w="146"/>
        <w:gridCol w:w="146"/>
        <w:gridCol w:w="263"/>
        <w:gridCol w:w="843"/>
        <w:gridCol w:w="146"/>
        <w:gridCol w:w="146"/>
        <w:gridCol w:w="259"/>
        <w:gridCol w:w="833"/>
        <w:gridCol w:w="146"/>
        <w:gridCol w:w="396"/>
      </w:tblGrid>
      <w:tr>
        <w:trPr/>
        <w:tc>
          <w:tcPr>
            <w:tcW w:w="39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 to</w:t>
              <w:b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9,179,303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9,179,303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9,961,425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9,961,425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08"/>
        <w:gridCol w:w="146"/>
        <w:gridCol w:w="419"/>
        <w:gridCol w:w="2678"/>
        <w:gridCol w:w="166"/>
        <w:gridCol w:w="146"/>
        <w:gridCol w:w="308"/>
        <w:gridCol w:w="684"/>
        <w:gridCol w:w="146"/>
        <w:gridCol w:w="146"/>
        <w:gridCol w:w="248"/>
        <w:gridCol w:w="795"/>
        <w:gridCol w:w="146"/>
        <w:gridCol w:w="146"/>
        <w:gridCol w:w="233"/>
        <w:gridCol w:w="748"/>
        <w:gridCol w:w="146"/>
        <w:gridCol w:w="196"/>
      </w:tblGrid>
      <w:tr>
        <w:trPr/>
        <w:tc>
          <w:tcPr>
            <w:tcW w:w="2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Subject to Outstanding Options and Common Shares Subject to Repurchase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options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options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grant-date fair value of options granted during the three and six months ended June 30, 2026, was $6.80 per share and $5.77 per share, respectively. The total fair value of options granted during the three and six months ended June 30, 2026 were $1.6 million and $7.8 million, respectively. The total fair value of options vested during the three and six months ended June 30, 2026, was $1.8 million and $5.2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grant-date fair value of options granted during the three and six months ended June 30, 2025, was $3.89 per share and $3.93 per share, respectively. The total fair value of options granted during the three and six months ended June 30, 2025 were $3.9 million and $12.0 million, respectively. The total fair value of options vested during the three and six months ended June 30, 2025, was $0.9 million and $1.3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stock options and the fair value of the Company’s common stock for stock options that were in-the-money at each reporting period. The aggregate intrinsic value of stock options exercised for the three and six months ended June 30, 2026, was $0.4 million and $0.6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Executive Officer and Director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Board of Directors approved the grant of a stock option award for approximately 0.1 million shares to a director, with vesting subject to the achievement of a performance condition related to the consummation of a deemed liquidation event. Subsequently, in January 2025, the Company determined that the performance condition was not achieved, and the stock option award was cancelled. Accordingly, no stock-based compensation expense was recognized in connection with this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and August 2024, the Board of Directors approved the grants of stock option awards for a total of approximately 2.8 million shares to three executive officers joining the company, including the Chief Executive Officer, Chief Medical Officer and Chief Financial Officer. The Chief Executive Officer’s grant allows for early exercise of the stock options. In August 2024, the Board of Directors approved the early exercise of stock option awards for approximately 0.1 million shares related to the Chief Executive Officer’s grant. The cash proceeds received from the early exercise of $0.3 million were recorded as an early exercise liability in accrued expenses and other current liabilities in the Company’s balance sheet as of March 31, 2025. In July 2025, upon full vesting of the underlying shares issued pursuant to early exercise of stock options, the related early exercise liability was reclassified in its entirety to additional paid-in capital, resulting in no further remaining liability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the Board of Directors approved a total of 461,612 stock option awards to certain executive officers and a member of the Board of Directors. The stock option awards include vesting criteria subject to the achievement of performance-based conditions related to the second tranche closing of the Series B redeemable convertible preferred stock financing in addition to service conditions. The Company assessed the probability that the performance criteria will be met at the grant date. The grant date fair value of the awards was $3.92 per share. In the three and six months ended June 30, 2026, the Company recognized expense for the stock options of $0.1 million and $0.2 million, respectively. In the three and six months ended June 30, 2025, the Company recognized expense for the stock options of $0.1 million. As of June 30, 2026, there was $1.0 million of unamortized stock-based compensation related to the portion of stock options, which is expected to be recognized over a weighted average period of 2.58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Valuation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determining the fair value of the options granted, the Company uses the Black-Scholes option-pricing model and assumptions discussed below. Each of these inputs is subjective and generally requires significant judgment to determine. </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Fair Value of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independent third parties, sales of redeemable convertible preferred stock, actual operating results and financial performance, the conditions in the pharmaceutical and biotechnology industry and the economy in general, the stock price performance and volatility of comparable public companies and the lack of liquidity of the Company’s common stock, among other factors. In the six months ended June 30, 2026 and 2025, the Company considered the stay private scenario, mergers and acquisitions (M&amp;A) scenario and IPO exit scenario. In the stay-private scenario, the subject company transaction method was used, which examines prior transactions in the same or related equity of the Company. Probability-weighted expected return method was utilized to capture the value attributable to the IPO outcomes and M&amp;A outcome. A hybrid method was used to allocate equity value to common stock under the stay private, IPO and M&amp;A scenarios.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Expected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expected term represents the period that the Company’s options granted are expected to be outstanding and is determined using the simplified method (based on the mid-point between the vesting date and the end of the contractual term). The Company has very limited historical information to develop reasonable expectations about future exercise patterns and post-vesting employment termination behavior for its stock option grants. The Company will continue to apply this process until a sufficient amount of historical information regarding exercise patterns and post-vesting employment termination behavior becomes available.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Volatility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volatility for the Company’s stock options was determined by using an average of historical volatilities of selected industry peers deemed to be comparable to the Company’s business corresponding to the expected term of the awards.</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Expected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dividend assumption is based on the Company’s history and expectation of dividend payouts. The expected dividend yield is 0% as the Company has not paid and does not anticipate paying dividends on its common stock.</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Risk-Free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risk-free rate assumption is based on the U.S. Treasury yield curve whose term is consistent with the expected term of the stock options.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fair value of options granted during the three and six months ended June 30, 2026 and 2025 was estimated using the following assumptions:</w:t>
      </w:r>
    </w:p>
    <w:tbl>
      <w:tblPr>
        <w:tblW w:w="8310" w:type="dxa"/>
        <w:jc w:val="left"/>
        <w:tblInd w:w="0" w:type="dxa"/>
        <w:tblLayout w:type="fixed"/>
        <w:tblCellMar>
          <w:top w:w="28" w:type="dxa"/>
          <w:left w:w="28" w:type="dxa"/>
          <w:bottom w:w="28" w:type="dxa"/>
          <w:right w:w="28" w:type="dxa"/>
        </w:tblCellMar>
      </w:tblPr>
      <w:tblGrid>
        <w:gridCol w:w="2131"/>
        <w:gridCol w:w="146"/>
        <w:gridCol w:w="1351"/>
        <w:gridCol w:w="146"/>
        <w:gridCol w:w="1351"/>
        <w:gridCol w:w="146"/>
        <w:gridCol w:w="1351"/>
        <w:gridCol w:w="146"/>
        <w:gridCol w:w="1351"/>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 – 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 – 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3.81% – 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 – 4.29%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73.6% – 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77.0% – 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73.5% – 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77.0% – 80.1%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 – 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the components of stock-based compensation expense recognized in the Company’s statements of operations and comprehensive loss (in thousands):</w:t>
      </w:r>
    </w:p>
    <w:tbl>
      <w:tblPr>
        <w:tblW w:w="9086" w:type="dxa"/>
        <w:jc w:val="left"/>
        <w:tblInd w:w="0" w:type="dxa"/>
        <w:tblLayout w:type="fixed"/>
        <w:tblCellMar>
          <w:top w:w="28" w:type="dxa"/>
          <w:left w:w="28" w:type="dxa"/>
          <w:bottom w:w="28" w:type="dxa"/>
          <w:right w:w="28" w:type="dxa"/>
        </w:tblCellMar>
      </w:tblPr>
      <w:tblGrid>
        <w:gridCol w:w="3451"/>
        <w:gridCol w:w="146"/>
        <w:gridCol w:w="298"/>
        <w:gridCol w:w="807"/>
        <w:gridCol w:w="206"/>
        <w:gridCol w:w="206"/>
        <w:gridCol w:w="298"/>
        <w:gridCol w:w="807"/>
        <w:gridCol w:w="146"/>
        <w:gridCol w:w="146"/>
        <w:gridCol w:w="271"/>
        <w:gridCol w:w="734"/>
        <w:gridCol w:w="187"/>
        <w:gridCol w:w="187"/>
        <w:gridCol w:w="271"/>
        <w:gridCol w:w="73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connection with the IPO, the Company reassessed the fair value of its common stock underlying certain stock option grants made prior to the IPO. As a result of this reassessment, the Company recognized additional stock-based compensation expense of $0.2 million during the three and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total stock-based compensation expense related to stock options not yet recognized was $21.6 million, which is expected to be recognized over a weighted average period of 2.76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June 30, 2026. The Company’s effective federal and state tax rate for the three and six months ended June 30, 2026 and 2025 was 0%, and the Company did not record any income tax expense or benefit during the three and six months ended June 30, 2026 and 2025, primarily as a result of estimated net operating losses for the fiscal year to date offset by the increase in the valuation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allowance against its deferred tax asset. All losses before income taxes arose in the United States.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and diluted net loss per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730"/>
        <w:gridCol w:w="146"/>
        <w:gridCol w:w="218"/>
        <w:gridCol w:w="809"/>
        <w:gridCol w:w="172"/>
        <w:gridCol w:w="151"/>
        <w:gridCol w:w="218"/>
        <w:gridCol w:w="871"/>
        <w:gridCol w:w="166"/>
        <w:gridCol w:w="146"/>
        <w:gridCol w:w="211"/>
        <w:gridCol w:w="783"/>
        <w:gridCol w:w="166"/>
        <w:gridCol w:w="146"/>
        <w:gridCol w:w="211"/>
        <w:gridCol w:w="844"/>
        <w:gridCol w:w="217"/>
      </w:tblGrid>
      <w:tr>
        <w:trPr/>
        <w:tc>
          <w:tcPr>
            <w:tcW w:w="4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(25,797</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w:t>
            </w:r>
          </w:p>
        </w:tc>
        <w:tc>
          <w:tcPr>
            <w:tcW w:w="2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935,025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821,921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Weighted-average common shares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(114,453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Weighted-average common shares outstanding used to calculate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935,025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707,468</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potentially dilutive securities, which include redeemable convertible preferred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for the six months ended June 30, 2026 and 2025, because including them would have had an anti-dilutive effect:</w:t>
      </w:r>
    </w:p>
    <w:tbl>
      <w:tblPr>
        <w:tblW w:w="7224" w:type="dxa"/>
        <w:jc w:val="left"/>
        <w:tblInd w:w="0" w:type="dxa"/>
        <w:tblLayout w:type="fixed"/>
        <w:tblCellMar>
          <w:top w:w="28" w:type="dxa"/>
          <w:left w:w="28" w:type="dxa"/>
          <w:bottom w:w="28" w:type="dxa"/>
          <w:right w:w="28" w:type="dxa"/>
        </w:tblCellMar>
      </w:tblPr>
      <w:tblGrid>
        <w:gridCol w:w="4231"/>
        <w:gridCol w:w="146"/>
        <w:gridCol w:w="146"/>
        <w:gridCol w:w="1036"/>
        <w:gridCol w:w="146"/>
        <w:gridCol w:w="146"/>
        <w:gridCol w:w="146"/>
        <w:gridCol w:w="1036"/>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Seed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8,051,735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17,320,357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14,844,011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9,896,006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shares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antidilutive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51,116,507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45,342,043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policies of the segment are the same as those described in Note 2. Summary of Significant Accounting Policies.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one operating and reportable segment. The Company’s CODM reviews and evaluates net loss to monitor budget versus actual results and to analyze cash flows for purposes of allocating resources and assessing financial performance. Segment assets provided to the CODM are consistent with those reported on the unaudited interim condensed balance sheets.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addition to the significant expense categories included within net loss presented in the Company's statements of operations and comprehensive loss, disaggregated expenses were as follows (in thousands):</w:t>
      </w:r>
    </w:p>
    <w:tbl>
      <w:tblPr>
        <w:tblW w:w="10059" w:type="dxa"/>
        <w:jc w:val="left"/>
        <w:tblInd w:w="0" w:type="dxa"/>
        <w:tblLayout w:type="fixed"/>
        <w:tblCellMar>
          <w:top w:w="28" w:type="dxa"/>
          <w:left w:w="28" w:type="dxa"/>
          <w:bottom w:w="28" w:type="dxa"/>
          <w:right w:w="28" w:type="dxa"/>
        </w:tblCellMar>
      </w:tblPr>
      <w:tblGrid>
        <w:gridCol w:w="3606"/>
        <w:gridCol w:w="546"/>
        <w:gridCol w:w="265"/>
        <w:gridCol w:w="850"/>
        <w:gridCol w:w="208"/>
        <w:gridCol w:w="183"/>
        <w:gridCol w:w="265"/>
        <w:gridCol w:w="850"/>
        <w:gridCol w:w="146"/>
        <w:gridCol w:w="146"/>
        <w:gridCol w:w="241"/>
        <w:gridCol w:w="773"/>
        <w:gridCol w:w="189"/>
        <w:gridCol w:w="166"/>
        <w:gridCol w:w="241"/>
        <w:gridCol w:w="773"/>
        <w:gridCol w:w="611"/>
      </w:tblGrid>
      <w:tr>
        <w:trPr/>
        <w:tc>
          <w:tcPr>
            <w:tcW w:w="36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Program Costs Onzotrigine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clinical and non-clinical programs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R&amp;D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R&amp;D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25,797</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48,758</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and the unaudited interim condensed financial statements and related notes included in this Quarterly Report should be read in conjunction with the financial statements and related notes thereto as of and for the year ended December 31, 2025 and the related Management’s Discussion and Analysis of Financial Condition and Results of Operations, both of which are contained in the prospectus filed on August 7, 2026, pursuant to Rule 424(b) under the Securities Act of 1933, as amended (the Securities Act), with the Securities and Exchange Commission (the SEC), or the Prospectus. This discussion and analysis and other parts of this Quarterly Report contain forward-looking statements based upon our current plans and expectations that involve risks, uncertainties and assumptions, such as statements regarding our plans, objectives, expectations, intentions and beliefs. Our actual results and the timing of selected events could differ materially from those discussed in these forward-looking statements as a result of several factors, including, but not limited to those set forth under the sections of this Quarterly Report titled “Special Note Regarding Forward-Looking Statements”, “Risk Factors” and elsewhere in this Quarterly Report. You should carefully read the section of this Quarterly Report titled “Risk Factors” to gain an understanding of the important factors that could cause actual results to differ materially from our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We are a clinical-stage biopharmaceutical company committed to developing innovative non-opioid pain medicines designed to rapidly and effectively stop the transmission of pain without the risk of addiction. Pain represents one of the largest and most pervasive therapeutic markets in the United States, driving an estimated 250 million prescriptions annually across acute and chronic settings; however, a continued reliance on opioids has contributed to a persistent public health crisis with significant societal and economic costs. Our two most advanced candidates, onzotrigine and LTG-321, are oral Na</w:t>
      </w:r>
      <w:r>
        <w:rPr>
          <w:rFonts w:ascii="Times New Roman" w:hAnsi="Times New Roman"/>
          <w:color w:val="000000"/>
          <w:sz w:val="13"/>
        </w:rPr>
        <w:t>v</w:t>
      </w:r>
      <w:r>
        <w:rPr>
          <w:rFonts w:ascii="Times New Roman" w:hAnsi="Times New Roman"/>
          <w:color w:val="000000"/>
          <w:sz w:val="20"/>
        </w:rPr>
        <w:t>1.8 inhibitors designed to inhibit the transmission of pain. We are also advancing additional Na</w:t>
      </w:r>
      <w:r>
        <w:rPr>
          <w:rFonts w:ascii="Times New Roman" w:hAnsi="Times New Roman"/>
          <w:color w:val="000000"/>
          <w:sz w:val="13"/>
        </w:rPr>
        <w:t>v</w:t>
      </w:r>
      <w:r>
        <w:rPr>
          <w:rFonts w:ascii="Times New Roman" w:hAnsi="Times New Roman"/>
          <w:color w:val="000000"/>
          <w:sz w:val="20"/>
        </w:rPr>
        <w:t>1.8 candidates that can address alternative formulation and delivery approaches. Beyond Na</w:t>
      </w:r>
      <w:r>
        <w:rPr>
          <w:rFonts w:ascii="Times New Roman" w:hAnsi="Times New Roman"/>
          <w:color w:val="000000"/>
          <w:sz w:val="13"/>
        </w:rPr>
        <w:t>v</w:t>
      </w:r>
      <w:r>
        <w:rPr>
          <w:rFonts w:ascii="Times New Roman" w:hAnsi="Times New Roman"/>
          <w:color w:val="000000"/>
          <w:sz w:val="20"/>
        </w:rPr>
        <w:t>1.8, we plan to explore other ion channel targets involved in pain transmission that offer complementary mechanisms of action, enabling potential use in multi-modal treatment to enhance pain relief or address diverse pain etiologies. Pain is heterogenous and can be experienced in a chronic or acute manner, within both musculoskeletal and neuropathic pain. Our initial development efforts are focused on musculoskeletal pain, where we believe there is significant unmet need and an opportunity for differentiated clinical benefit utilizing a Na</w:t>
      </w:r>
      <w:r>
        <w:rPr>
          <w:rFonts w:ascii="Times New Roman" w:hAnsi="Times New Roman"/>
          <w:color w:val="000000"/>
          <w:sz w:val="13"/>
        </w:rPr>
        <w:t>v</w:t>
      </w:r>
      <w:r>
        <w:rPr>
          <w:rFonts w:ascii="Times New Roman" w:hAnsi="Times New Roman"/>
          <w:color w:val="000000"/>
          <w:sz w:val="20"/>
        </w:rPr>
        <w:t>1.8 mechanism. We aim to build one of the broadest pipelines of pain therapeutics, which we believe, combined with our management team’s deep expertise in pain biology, clinical translation and trial execution, positions us to deliver meaningful patient benefit and to change the current treatment paradigm of pain medicines.</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Our lead product candidate onzotrigine is an oral Na</w:t>
      </w:r>
      <w:r>
        <w:rPr>
          <w:rFonts w:ascii="Times New Roman" w:hAnsi="Times New Roman"/>
          <w:color w:val="000000"/>
          <w:sz w:val="13"/>
        </w:rPr>
        <w:t>v</w:t>
      </w:r>
      <w:r>
        <w:rPr>
          <w:rFonts w:ascii="Times New Roman" w:hAnsi="Times New Roman"/>
          <w:color w:val="000000"/>
          <w:sz w:val="20"/>
        </w:rPr>
        <w:t>1.8 inhibitor designed to provide fast-acting, opioid-sparing relief for the treatment of acute pain. We believe onzotrigine will address a critical unmet need in a high-volume market where opioids remain the standard of care due to a lack of effective, non-addictive alternatives with rapid onset. The 2025 U.S. Food and Drug Administration (FDA) approval of the first Na</w:t>
      </w:r>
      <w:r>
        <w:rPr>
          <w:rFonts w:ascii="Times New Roman" w:hAnsi="Times New Roman"/>
          <w:color w:val="000000"/>
          <w:sz w:val="13"/>
        </w:rPr>
        <w:t>v</w:t>
      </w:r>
      <w:r>
        <w:rPr>
          <w:rFonts w:ascii="Times New Roman" w:hAnsi="Times New Roman"/>
          <w:color w:val="000000"/>
          <w:sz w:val="20"/>
        </w:rPr>
        <w:t>1.8 inhibitor, suzetrigine (Journavx) provides a clear development and regulatory precedent for this therapeutic class. We recently received positive data for onzotrigine in our randomized, placebo and comparator-controlled trial in 343 patients undergoing abdominoplasty. This large-scale efficacy trial was designed and conducted to be pivotal and met its primary endpoint and key secondary endpoints with high statistical significance. Key highlights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Met primary endpoint and achieved ~50% greater analgesic effect than opioid comparator: </w:t>
      </w:r>
      <w:r>
        <w:rPr>
          <w:rFonts w:ascii="Times New Roman" w:hAnsi="Times New Roman"/>
          <w:color w:val="000000"/>
          <w:sz w:val="20"/>
        </w:rPr>
        <w:t>High dose onzotrigine (450mg loading followed by 300mg every 12 hours) met its primary endpoint of Summed Pain Intensity Difference from 0 to 48 hours (SPID48) versus placebo, achieving a 62.1-point (p&lt;0.001) improvement versus placebo and exceeding hydrocodone bitrate/acetaminophen (HB/APAP), which is commonly known as Vicodin, the opioid comparator’s SPID48 of 40.9 (p=0.001).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Achieved rapid onset of meaningful pain relief:</w:t>
      </w:r>
      <w:r>
        <w:rPr>
          <w:rFonts w:ascii="Times New Roman" w:hAnsi="Times New Roman"/>
          <w:color w:val="000000"/>
          <w:sz w:val="20"/>
        </w:rPr>
        <w:t xml:space="preserve"> Median time to a 2-point reduction in NPRS score was 52 minutes with high dose onzotrigine, and 83 minutes for HB/APAP, the opioid comparator in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Demonstrated opioid sparing:</w:t>
      </w:r>
      <w:r>
        <w:rPr>
          <w:rFonts w:ascii="Times New Roman" w:hAnsi="Times New Roman"/>
          <w:color w:val="000000"/>
          <w:sz w:val="20"/>
        </w:rPr>
        <w:t xml:space="preserve"> 52.3% of patients receiving high dose onzotrigine remained opioid-free during the 48-hour treatment period (p&lt;0.001). Pain experienced by these patients was sufficiently managed by onzotrigine alone and required no rescue medicine. In the placebo group, only 22.1% remained opioid-free.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Dose response observed: </w:t>
      </w:r>
      <w:r>
        <w:rPr>
          <w:rFonts w:ascii="Times New Roman" w:hAnsi="Times New Roman"/>
          <w:color w:val="000000"/>
          <w:sz w:val="20"/>
        </w:rPr>
        <w:t>Low dose onzotrigine (300mg loading followed by 150mg every 12 hours) also demonstrated statistically significant improvement versus placebo (SPID48 of 37.8; p=0.003), roughly comparable to the effect of HB/APAP, the opioid comparator in the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Onzotrigine has been generally well-tolerated and has generated favorable clinical pharmacology data characterized by limited DDI potential and balanced renal and hepatic clearance in preclinical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discussions with the FDA, we believe our proposed CMC manufacturing and stability plan for the commercial material for onzotrigine is reasonable for supporting regulatory approval.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submit a New Drug Application (NDA) seeking FDA approval of onzotrigine as a potential treatment for moderate to severe acute pain, including postoperative pain, we are also required to conduct an open-label safety trial to attain a certain number of safety exposures at the intended commercial dose and to demonstrate safety across a mix of demographics and surgical settings to more adequately match the real-world setting.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initiate a placebo-controlled Phase 3 trial in participants undergoing bunionectomy and an open-label Phase 3 safety trial exploring onzotrigine within a broader population of patients with moderate to severe acute pain across a variety of post-surgical and non-surgical settings in the second half of 2026, with topline results expected in the second half of 2027. In addition to oral dosing, onzotrigine is also being advanced as a potential intravenous (IV) formulation to support use in hospital settings and enable transition from inpatient postoperative care to outpatient pain management.</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LTG-321 is our next-generation candidate for the inhibition of Na</w:t>
      </w:r>
      <w:r>
        <w:rPr>
          <w:rFonts w:ascii="Times New Roman" w:hAnsi="Times New Roman"/>
          <w:color w:val="000000"/>
          <w:sz w:val="13"/>
        </w:rPr>
        <w:t>v</w:t>
      </w:r>
      <w:r>
        <w:rPr>
          <w:rFonts w:ascii="Times New Roman" w:hAnsi="Times New Roman"/>
          <w:color w:val="000000"/>
          <w:sz w:val="20"/>
        </w:rPr>
        <w:t>1.8, initially being developed for the treatment of chronic musculoskeletal pain, starting with OA. LTG-321 is structurally distinct from onzotrigine. LTG-321’s differentiated profile may enable a lower effective dose and once-daily dosing, characteristics we believe are particularly important for a chronic-use setting. In the Phase 1 trial, data as of May 15, 2026 showed that LTG-321 demonstrated robust pharmacodynamic (PD) activity as measured by an increased pain tolerance threshold, with continued activity at 24 hours after a single dose in the CPT. We have refined the CPT methodology and it has provided a quantifiable and repeatable clinical endpoint that has translated into clinical trial outcomes for our lead product candidate. We have initiated a Phase 2 proof-of-concept trial investigating LTG-321 in patients with OA of the knee.</w:t>
      </w:r>
      <w:r>
        <w:rPr>
          <w:rFonts w:ascii="Times New Roman" w:hAnsi="Times New Roman"/>
          <w:color w:val="000000"/>
          <w:sz w:val="13"/>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trial is designed as a randomized, double-blind, placebo controlled within subject crossover trial in approximately 120 patients with WOMAC pain as the primary endpoint to establish clinical proof-of-concept in chronic musculoskeletal pain and inform subsequent pivotal trial design. We expect to report topline results in the second half of 2027.</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Our earlier stage pipeline consists of LTG-418, a next-generation Na</w:t>
      </w:r>
      <w:r>
        <w:rPr>
          <w:rFonts w:ascii="Times New Roman" w:hAnsi="Times New Roman"/>
          <w:color w:val="000000"/>
          <w:sz w:val="13"/>
        </w:rPr>
        <w:t>v</w:t>
      </w:r>
      <w:r>
        <w:rPr>
          <w:rFonts w:ascii="Times New Roman" w:hAnsi="Times New Roman"/>
          <w:color w:val="000000"/>
          <w:sz w:val="20"/>
        </w:rPr>
        <w:t>1.8 inhibitor being developed for the treatment of acute and chronic pain. LTG-418 is structurally distinct from onzotrigine and LTG-321 and is predicted to have a dose which will be substantially lower than the expected doses for onzotrigine and LTG-321. We believe the predicted lower dose with LTG-418 is one of the features that may enable additional opportunities for other formulations and routes of administration including gels, patches, eye drops, inhalers and injectables, expanding our reach within the pain market and offering patients therapeutic options beyond oral and IV delivery. Suitable tolerability was demonstrated in completed 14-day non-GLP toxicology studies in both rats and non-human primates</w:t>
      </w:r>
      <w:r>
        <w:rPr>
          <w:rFonts w:ascii="Arial" w:hAnsi="Arial"/>
          <w:color w:val="000000"/>
          <w:sz w:val="20"/>
        </w:rPr>
        <w:t>.</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We are also in discovery of additional ion channel modulators involved in peripheral transmission of pain that represent potential complementary mechanisms of action to Na</w:t>
      </w:r>
      <w:r>
        <w:rPr>
          <w:rFonts w:ascii="Times New Roman" w:hAnsi="Times New Roman"/>
          <w:color w:val="000000"/>
          <w:sz w:val="13"/>
        </w:rPr>
        <w:t>v</w:t>
      </w:r>
      <w:r>
        <w:rPr>
          <w:rFonts w:ascii="Times New Roman" w:hAnsi="Times New Roman"/>
          <w:color w:val="000000"/>
          <w:sz w:val="20"/>
        </w:rPr>
        <w:t>1.8 inhibition for additional pain relief including in other pain etiologies like neuropathic pain.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differentiated approach to addressing the shortcomings of current pain management and drug development is built on overcoming challenges in developing novel pain medicines through development of preclinical tools including electrophysiology in human DRG neurons and NHP microneurography to measure the effect of compounds on pain target engagement, optimization of CPT as a reliable biomarker that allows rapid in-human evaluation of analgesic effect with minimal investment and deep expertise in clinical trial design and execution.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and negative cash flows since our inception, consistent with our operating plan. Our net losses were $48.8 million and $46.8 million for the six months ended June 30, 2026 and 2025, respectively. As of June 30, 2026, we had an accumulated deficit of $291.9 million and cash and cash equivalents of $55.0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financed our operations primarily through the sale of shares of our redeemable convertible preferred stock and convertible notes. In June 2026, the Company issued unsecured convertible promissory notes (the Convertible Notes) to various holders in the aggregate principal amount of $35.0 million. Additionally, in August 2026, we closed our initial public offering (IPO) pursuant to which we issued and sold 22,080,000 shares of our common stock at a public offering price of $18.00 per share (IPO Price), including 2,880,000 additional shares of our common stock pursuant to the exercise in full by the underwriters of their option to purchase shares of common stock from us at the IPO Price. As a result, we received net proceeds of approximately $363.9 million, after deducting underwriting discounts, commissions and other offering expenses payable by us of approximately $33.6 million. Immediately prior to the closing of our IPO, the Convertible Notes automatically converted into 1,957,755 shares of common stock. Based on our current operating plans, we estimate that our cash and cash equivalents, together with our net IPO proceeds, will be sufficient to fund our projected operating expenses and capital expenditure requirements into 2029.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this estimate on assumptions that may prove to be wrong, and we could use our available capital resources sooner than we expect. Our existing cash and cash equivalents, plus our net IPO proceeds, will not be sufficient for us to fund our product candidates through clinical trials, regulatory approval and commercialization, and we will need to raise substantial additional capital in order to do so. We plan to monitor expenses and may raise additional capital opportunistically through the sale of public or private equity, debt financings or other capital sources, which may include our existing and any future licensing or collaboration arrangements, strategic collaborations and other strategic arrangements with third parties. Our ability to access capital when needed is not assured, and if capital is not available to us when, and in the amounts, needed, and on acceptable terms, we may need to delay, scale back or abandon some or all of our development programs and other operations, which could materially affect our business,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external and internal costs related to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External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product candidates for clinical supply, including costs for laboratory supplies, research materials and reagents;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research, laboratory consumables and preclinical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and related benefits and stock-based compensation expense for personnel engaged in research and development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expenses, which include allocated expenses for rent and maintenance of facilities, insurance and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track direct external research and development expenses by stage of program, clinical or preclinical. We track outsourced development, outsourced personnel costs and other external research and development costs of specific programs. Our internal research and development expenses are deployed across multiple programs and, as such, are not separately tracked. Significant judgment and estimates are made in determining the accrued or prepaid expense balances at the end of any reporting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cannot reasonably estimate or know the nature, timing and costs of the efforts that will be necessary to complete the preclinical and clinical development of any of our product candidates. Certain factors, among others, that contribute to this uncertainty include future trial designs and regulatory requirements, which cannot be determined with accuracy at this time based on our stage of development. Additionally,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in connection with our planned preclinical and clinical development activities.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including salaries and related benefits and stock-based compensation expense, professional fees for legal, accounting, audit, tax and consulting services, travel expenses and facility-related expenses, which include expenses for rent and maintenance of facilities and other operating costs. We expense all general and administrative expenses as incurred. We expect our general and administrative expenses to increase for the foreseeable future as we continue to improve our infrastructure and operate as a public company. This may include expenses related to compliance with the rules and regulations of the SEC and listing standards applicable to companies listed on a national securities exchange, additional insurance, investor relations activities and other administrative and professional services.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(expense), net primarily consists of interest earned on our cash and cash equivalents and convertible notes interest expense. We expect interest income to vary each reporting period depending on our average money market fund balance during the period and market interest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Fair Value of Preferred Stock Tranche Liability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redeemable convertible preferred stock tranche liability is accounted for at fair value at inception, with changes in the fair value recorded as a component of other (income) expense, net in the statements of operations and comprehensive loss at each reporting period through settlement. Refer to Note 3 to our unaudited interim condensed financial statements included elsewhere in this </w:t>
      </w:r>
      <w:r>
        <w:rPr>
          <w:rFonts w:ascii="Times New Roman" w:hAnsi="Times New Roman"/>
          <w:i/>
          <w:color w:val="000000"/>
          <w:sz w:val="20"/>
        </w:rPr>
        <w:t>Quarterly Report</w:t>
      </w:r>
      <w:r>
        <w:rPr>
          <w:rFonts w:ascii="Times New Roman" w:hAnsi="Times New Roman"/>
          <w:color w:val="000000"/>
          <w:sz w:val="20"/>
        </w:rPr>
        <w:t xml:space="preserve"> for further discussion of the preferred stock tranche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supplements the discussion below and summarizes our results of operations for the periods presented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2"/>
        <w:gridCol w:w="546"/>
        <w:gridCol w:w="216"/>
        <w:gridCol w:w="755"/>
        <w:gridCol w:w="170"/>
        <w:gridCol w:w="149"/>
        <w:gridCol w:w="216"/>
        <w:gridCol w:w="755"/>
        <w:gridCol w:w="166"/>
        <w:gridCol w:w="146"/>
        <w:gridCol w:w="211"/>
        <w:gridCol w:w="631"/>
        <w:gridCol w:w="166"/>
        <w:gridCol w:w="146"/>
        <w:gridCol w:w="213"/>
        <w:gridCol w:w="744"/>
        <w:gridCol w:w="167"/>
        <w:gridCol w:w="147"/>
        <w:gridCol w:w="213"/>
        <w:gridCol w:w="744"/>
        <w:gridCol w:w="166"/>
        <w:gridCol w:w="146"/>
        <w:gridCol w:w="211"/>
        <w:gridCol w:w="631"/>
        <w:gridCol w:w="598"/>
      </w:tblGrid>
      <w:tr>
        <w:trPr/>
        <w:tc>
          <w:tcPr>
            <w:tcW w:w="195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preferred stock tranche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external and internal costs for the periods presented (in thousands):</w:t>
      </w:r>
    </w:p>
    <w:tbl>
      <w:tblPr>
        <w:tblW w:w="10205" w:type="dxa"/>
        <w:jc w:val="left"/>
        <w:tblInd w:w="0" w:type="dxa"/>
        <w:tblLayout w:type="fixed"/>
        <w:tblCellMar>
          <w:top w:w="28" w:type="dxa"/>
          <w:left w:w="28" w:type="dxa"/>
          <w:bottom w:w="28" w:type="dxa"/>
          <w:right w:w="28" w:type="dxa"/>
        </w:tblCellMar>
      </w:tblPr>
      <w:tblGrid>
        <w:gridCol w:w="2641"/>
        <w:gridCol w:w="146"/>
        <w:gridCol w:w="243"/>
        <w:gridCol w:w="779"/>
        <w:gridCol w:w="168"/>
        <w:gridCol w:w="168"/>
        <w:gridCol w:w="243"/>
        <w:gridCol w:w="779"/>
        <w:gridCol w:w="146"/>
        <w:gridCol w:w="146"/>
        <w:gridCol w:w="211"/>
        <w:gridCol w:w="631"/>
        <w:gridCol w:w="166"/>
        <w:gridCol w:w="146"/>
        <w:gridCol w:w="229"/>
        <w:gridCol w:w="734"/>
        <w:gridCol w:w="158"/>
        <w:gridCol w:w="158"/>
        <w:gridCol w:w="229"/>
        <w:gridCol w:w="734"/>
        <w:gridCol w:w="146"/>
        <w:gridCol w:w="146"/>
        <w:gridCol w:w="211"/>
        <w:gridCol w:w="631"/>
        <w:gridCol w:w="216"/>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Program Costs Onzotrigine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clinical and non-clinical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R&amp;D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$21.2 million for the three months ended June 30, 2026 compared to $22.9 million for the three months ended June 30, 2025. The net decrease of $1.7 million was primarily due to a $1.4 million decrease in direct costs related to clinical and non-clinical development of onzotrigine and $2.0 million decrease in direct program costs for other clinical programs, offset by an increase of $1.4 million in personnel-related expenses due to increased headcount to support our development activities, including stock-based compensation, and an increase of $0.3 million in other R&amp;D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$1.4 million decrease in direct costs related to clinical and non-clinical development of onzotrigine was primarily due to a $2.5 million decrease in expenses for clinical trials, offset by an increase of $0.3 million in clinical manufacturing related expenses, an increase of $0.7 million in discovery and non-clinical related activities for onzotrigine, and a $0.1 million increase in general R&amp;D related expenses for onzotrigine.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 million decrease related to other clinical programs was mainly comprised of a $2.4 million decrease in clinical trial expenses, a $0.2 million decrease in clinical manufacturing expenses, a $0.1 million decrease in general research and development expenses, offset by a $0.7 million increase in discovery and non-clinical expenses.</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The $0.7 million increase in discovery and non-clinical expenses for other clinical programs was mainly driven by a $0.7 million increase related to LTG-321, our next generation candidate for the inhibition of Na</w:t>
      </w:r>
      <w:r>
        <w:rPr>
          <w:rFonts w:ascii="Times New Roman" w:hAnsi="Times New Roman"/>
          <w:color w:val="000000"/>
          <w:sz w:val="13"/>
        </w:rPr>
        <w:t>v</w:t>
      </w:r>
      <w:r>
        <w:rPr>
          <w:rFonts w:ascii="Times New Roman" w:hAnsi="Times New Roman"/>
          <w:color w:val="000000"/>
          <w:sz w:val="20"/>
        </w:rPr>
        <w:t>1.8 and an increase of $1.1 million related to next generation Na</w:t>
      </w:r>
      <w:r>
        <w:rPr>
          <w:rFonts w:ascii="Times New Roman" w:hAnsi="Times New Roman"/>
          <w:color w:val="000000"/>
          <w:sz w:val="13"/>
        </w:rPr>
        <w:t>v</w:t>
      </w:r>
      <w:r>
        <w:rPr>
          <w:rFonts w:ascii="Times New Roman" w:hAnsi="Times New Roman"/>
          <w:color w:val="000000"/>
          <w:sz w:val="20"/>
        </w:rPr>
        <w:t>1.8 inhibitor molecules due to timing of such research activities, offset by a decrease of $1.1 million related to a clinical program which has since been terminated.</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The $2.4 million decrease in clinical expenses for other clinical programs was driven by a $2.2 million decrease related to a clinical program which has since been terminated and a $0.2 million decrease in clinical trial expenses related to LTG-321, our next generation candidate for the inhibition of Na</w:t>
      </w:r>
      <w:r>
        <w:rPr>
          <w:rFonts w:ascii="Times New Roman" w:hAnsi="Times New Roman"/>
          <w:color w:val="000000"/>
          <w:sz w:val="13"/>
        </w:rPr>
        <w:t>v</w:t>
      </w:r>
      <w:r>
        <w:rPr>
          <w:rFonts w:ascii="Times New Roman" w:hAnsi="Times New Roman"/>
          <w:color w:val="000000"/>
          <w:sz w:val="20"/>
        </w:rPr>
        <w:t>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$0.3 million increase in other R&amp;D expenses is primarily driven by a $0.2 million increase in IT and facility expense, and $0.1 million increase in R&amp;D related software and subscription expenses, shipping expense and other immaterial 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$38.9 million for the six months ended June 30, 2026 compared to $41.6 million for the six months ended June 30, 2025. The net decrease of $2.7 million was primarily due to a decrease of $1.9 million of direct costs related to clinical and non-clinical development of onzotrigine and a $4.3 million decrease in direct program costs for other clinical programs, offset by an increase of $2.8 million in personnel-related expenses due to increased headcount to support our development activities, including stock-based compensation, and an increase of $0.6 million in other R&amp;D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$1.9 million decrease in direct costs related to clinical and non-clinical development of onzotrigine was primarily due to a $1.5 million decrease in clinical manufacturing related expenses and $1.2 million decrease in expenses for clinical trials, offset by a $0.6 million increase in discovery and non-clinical related activities for onzotrigine, and a $0.2 million increase in general R&amp;D related expenses for onzotrigine.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$4.3 million decrease related to other clinical programs was mainly comprised of a $2.5 million decrease in clinical trial expenses, a $0.6 million decrease in clinical manufacturing expenses, a $0.5 million decrease in general research and development expenses and a $0.7 million decrease in discovery and non-clinical expenses. </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The $0.7 million decrease in discovery and non-clinical expenses for other clinical programs was mainly driven by a $2.1 million decrease related to a clinical program which has since been terminated, a $0.2 million decrease related to LTG-321, our next generation candidate for the inhibition of Na</w:t>
      </w:r>
      <w:r>
        <w:rPr>
          <w:rFonts w:ascii="Times New Roman" w:hAnsi="Times New Roman"/>
          <w:color w:val="000000"/>
          <w:sz w:val="13"/>
        </w:rPr>
        <w:t>v</w:t>
      </w:r>
      <w:r>
        <w:rPr>
          <w:rFonts w:ascii="Times New Roman" w:hAnsi="Times New Roman"/>
          <w:color w:val="000000"/>
          <w:sz w:val="20"/>
        </w:rPr>
        <w:t>1.8, offset by a $1.7 million increase related to next generation Na</w:t>
      </w:r>
      <w:r>
        <w:rPr>
          <w:rFonts w:ascii="Times New Roman" w:hAnsi="Times New Roman"/>
          <w:color w:val="000000"/>
          <w:sz w:val="13"/>
        </w:rPr>
        <w:t>v</w:t>
      </w:r>
      <w:r>
        <w:rPr>
          <w:rFonts w:ascii="Times New Roman" w:hAnsi="Times New Roman"/>
          <w:color w:val="000000"/>
          <w:sz w:val="20"/>
        </w:rPr>
        <w:t>1.8 inhibitor molecules due to timing of such research activities.</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The $2.5 million decrease in clinical expenses for other clinical programs was driven by a $3.6 million decrease related to a clinical program which has since been terminated, offset by a $1.1 million increase in clinical trial expenses related to LTG-321, our next generation candidate for the inhibition of Na</w:t>
      </w:r>
      <w:r>
        <w:rPr>
          <w:rFonts w:ascii="Times New Roman" w:hAnsi="Times New Roman"/>
          <w:color w:val="000000"/>
          <w:sz w:val="13"/>
        </w:rPr>
        <w:t>v</w:t>
      </w:r>
      <w:r>
        <w:rPr>
          <w:rFonts w:ascii="Times New Roman" w:hAnsi="Times New Roman"/>
          <w:color w:val="000000"/>
          <w:sz w:val="20"/>
        </w:rPr>
        <w:t>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$0.6 million increase in other R&amp;D expenses is primarily driven by a $0.2 million increase in IT and facility expense, $0.1 million increase in travel and entertainment expenses, $0.1 million increase in R&amp;D related software and subscription expenses, $0.1 million increase in shipping expense and other immaterial research and development costs.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general and administrative expenses for the periods presented (in thousands):</w:t>
      </w:r>
    </w:p>
    <w:tbl>
      <w:tblPr>
        <w:tblW w:w="10205" w:type="dxa"/>
        <w:jc w:val="left"/>
        <w:tblInd w:w="0" w:type="dxa"/>
        <w:tblLayout w:type="fixed"/>
        <w:tblCellMar>
          <w:top w:w="28" w:type="dxa"/>
          <w:left w:w="28" w:type="dxa"/>
          <w:bottom w:w="28" w:type="dxa"/>
          <w:right w:w="28" w:type="dxa"/>
        </w:tblCellMar>
      </w:tblPr>
      <w:tblGrid>
        <w:gridCol w:w="3046"/>
        <w:gridCol w:w="146"/>
        <w:gridCol w:w="252"/>
        <w:gridCol w:w="683"/>
        <w:gridCol w:w="174"/>
        <w:gridCol w:w="174"/>
        <w:gridCol w:w="252"/>
        <w:gridCol w:w="683"/>
        <w:gridCol w:w="146"/>
        <w:gridCol w:w="146"/>
        <w:gridCol w:w="211"/>
        <w:gridCol w:w="571"/>
        <w:gridCol w:w="146"/>
        <w:gridCol w:w="146"/>
        <w:gridCol w:w="232"/>
        <w:gridCol w:w="745"/>
        <w:gridCol w:w="160"/>
        <w:gridCol w:w="160"/>
        <w:gridCol w:w="232"/>
        <w:gridCol w:w="629"/>
        <w:gridCol w:w="146"/>
        <w:gridCol w:w="146"/>
        <w:gridCol w:w="211"/>
        <w:gridCol w:w="571"/>
        <w:gridCol w:w="197"/>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contractor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facilities, office,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$4.6 million for the three months ended June 30, 2026, compared to $2.8 million for the three months ended June 30, 2025. The $1.8 million increase was primarily attributable to a $0.8 million increase in personnel-related costs, including stock-based compensation, a $0.6 million increase in legal and professional fees, a $0.2 million increase in consulting and external contractor-related expenses and a $0.2 million increase in IT and facilities-related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$10.4 million for the six months ended June 30, 2026, compared to $5.6 million for the six months ended June 30, 2025. The $4.7 million increase was primarily attributable to a $1.8 million increase in personnel-related costs, including stock-based compensation, a $1.3 million increase in legal and professional fees, a $1.0 million increase in IT and facilities-related expenses and a $0.6 million increase in consulting and external contractor-related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primarily funded our operations through the sale of shares of our redeemable convertible preferred stock and convertible notes. We have not generated any revenue from product sales and have incurred significant annual operating losses and negative cash flows from our operations. In June 2026, we raised $35.0 million in gross proceeds from the sale of Convertible Notes. In addition, in August 2026, we closed our IPO, through which we received net proceeds of approximately $363.9 million. Based on our current operating plans, we estimate that our cash and cash equivalents, together with our net IPO proceeds, will be sufficient to fund our projected operating expenses and capital expenditure requirements into 2029. Our total future capital requirements will depend on many factors and is subject to the risks and uncertainties set forth in the section titled “Risk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We do not expect to generate any meaningful revenue unless and until we obtain regulatory approval of and commercialize any of our product candidates, and we do not know when, or if,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associated with the development of new biopharmaceutical products, and we may encounter unforeseen expenses, difficulties, complications, delays and other unknown factors that may harm our business. Our expenses will increase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product candidates through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medical affairs and distribution infrastructure to commercialize any product candidates for which we may obtain marketing approval and intend to commercialize on our own or jointly;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development, manufacturing and commercialization efforts and our operations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protect and enforce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product candidates and technologies.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public or private equity, debt financings or other capital sources, which may include our existing and any future licensing or collaboration arrangements, strategic collaborations and other strategic arrangements with third parties.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our projections of operating capital requirements on our current operating plans, which are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product candidates,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future activities, including product sales, medical affairs, marketing, manufacturing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commercial-grade products and sufficient inventory to support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the commercial sale of our products,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hiring new employees to support our continued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establish and maintain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of, or milestone payments related to or royalties on, our current or future product candidates,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sources and uses of our cash for the periods presented (in thousands):</w:t>
      </w:r>
    </w:p>
    <w:tbl>
      <w:tblPr>
        <w:tblW w:w="9566" w:type="dxa"/>
        <w:jc w:val="left"/>
        <w:tblInd w:w="0" w:type="dxa"/>
        <w:tblLayout w:type="fixed"/>
        <w:tblCellMar>
          <w:top w:w="28" w:type="dxa"/>
          <w:left w:w="28" w:type="dxa"/>
          <w:bottom w:w="28" w:type="dxa"/>
          <w:right w:w="28" w:type="dxa"/>
        </w:tblCellMar>
      </w:tblPr>
      <w:tblGrid>
        <w:gridCol w:w="5566"/>
        <w:gridCol w:w="146"/>
        <w:gridCol w:w="228"/>
        <w:gridCol w:w="796"/>
        <w:gridCol w:w="179"/>
        <w:gridCol w:w="157"/>
        <w:gridCol w:w="228"/>
        <w:gridCol w:w="79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(14,511</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for the six months ended June 30, 2026, was mainly comprised of our net loss of $48.8 million, and the change in net operating assets and liabilities of $4.4 million, offset by non-cash charges of $4.8 million. The non-cash charges were primarily related to stock-based compensation expense and depreciation and amortization.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for the six months ended June 30, 2025, was mainly comprised of our net loss of $46.8 million, and $0.2 million change in net operating assets and liabilities, offset by non-cash charges of $4.3 million. The non-cash charges were primarily related to stock-based compensation expense, and depreciation and amortization.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six months ended June 30, 2026 and 2025, reflects our investment in property and equipment during the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during the six months ended June 30, 2026, was comprised of $35.0 million of proceeds from issuance of convertible promissory notes and $0.2 million of proceeds from issuance of common stock upon exercise of stock options, offset by $1.3 million in payments for deferred IPO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during the six months ended June 30, 2025, was comprised of $99.4 million in net proceeds from issuance of Series B redeemable convertible preferred stock, net of issuance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ongoing capital needs to fund our ongoing operations, our material cash requirements include the following contractual and other obligations.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office and laboratory space in Thousand Oaks, California under a non-cancelable operating lease that expires in June 2028 and office space in San Francisco, California under a non-cancelable operating lease that expires in July 2027.</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These commitments are also recognized as operating lease liabilities on our balance sheet as of June 30, 2026. See Note 5 to our unaudited interim condensed financial statements included elsewhere in this </w:t>
      </w:r>
      <w:r>
        <w:rPr>
          <w:rFonts w:ascii="Times New Roman" w:hAnsi="Times New Roman"/>
          <w:i/>
          <w:color w:val="000000"/>
          <w:sz w:val="20"/>
        </w:rPr>
        <w:t xml:space="preserve">Quarterly Report </w:t>
      </w:r>
      <w:r>
        <w:rPr>
          <w:rFonts w:ascii="Times New Roman" w:hAnsi="Times New Roman"/>
          <w:color w:val="000000"/>
          <w:sz w:val="20"/>
        </w:rPr>
        <w:t>for more information on our lease obligations.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we entered into a license agreement with Lieber Institute, Inc. (LIBD), which was subsequently amended in August 2020 and January 2022 (License Agreement), under which LIBD granted us a worldwide, exclusive, sub-licensable and royalty-bearing license, under certain patent and other intellectual property rights owned or controlled by LIBD. Under the License Agreement, we have agreed to pay LIBD up to an aggregate of $48.5 million upon the achievement of pre-specified development and regulatory milestones with respect to the first sole product, up to an aggregate of $23.75 million for each subsequent sole product, and up to an aggregate of $95.0 million upon the achievement of pre-specified sales milestones with respect to all sole products. We have concluded we are not currently developing any licensed products that are sole products, and we do not have any current intentions to develop any licensed products that are sole products. For the first joint product, we have agreed to pay LIBD up to an aggregate of $4.0 million upon the achievement of pre-specified regulatory milestones, and up to an aggregate of $9.5 million upon the achievement of pre-specified sales milestones; we do not have any milestone payment obligations for subsequent joint products. No milestones have been achieved to date under this license agreement for any licensed product. We must also pay LIBD royalties on the net sales of licensed products. The royalty rates for sole products are tiered and range from low-single digit to mid-single digit percentages and the royalty rate for joint products is a low-single digit percentage. The royalty payments are subject to reduction if, on a licensed product-by-licensed product and country-by-country basis, there are no valid patent claims covering the licensed product in such country or if we make certain payments to third parties for intellectual property licenses, all subject to a customary royalty floor. If we sublicense our rights to sole products or licensed patents solely owned by LIBD, then we must pay LIBD a low double-digit percentage of non-royalty sublicensing revenue received from sublicensees for rights to sole products and a low single-digit percentage of non-royalty sublicensing revenue from sublicensees for rights to joint products or jointly-owned patents.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Purchase and Other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entered into contracts in the normal course of business with CROs, contract manufacturing organizations (CMOs) and other third parties for preclinical research studies and testing, clinical trials and manufacturing services. These contracts do not contain any minimum purchase commitments and are cancelable by us upon prior notice. Payments due upon cancellation consist only of payments for services provided and expenses incurred, including non-cancelable obligations of our service providers, up to the date of cancellation. We have entered into agreements with certain vendors for the provision of goods and services, which includes manufacturing services with CMOs and development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nor did we have during the periods presented,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unaudited interim condensed financial statements, which have been prepared in accordance with U.S. GAAP. The preparation of our unaudited interim condensed financial statements and related disclosures requires us to make estimates and assumptions that affect the reported amounts of assets, liabilities, costs and expenses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significant changes to our critical accounting estimates from those described in Management’s Discussion and Analysis of Financial Condition and Results of Operations - Critical Accounting Policies and Significant Estimates and Judgments and our audited financial statements as of and for the year ended December 31, 2025 as included in our prospectus dated August 7, 2026 related to our IPO filed pursuant to Rule 424(b)(4) under the Securities Act.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and we may remain an emerging growth company for up to five years following the closing of the IPO which occurred in August 2026.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Accordingly, the information contained herein may be different than the information you receive from other public companies in which you hold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would cease to be an emerging growth company upon the earliest to occur of: (i) the last day of the fiscal year following the fifth anniversary of the completion of our IPO; (ii) the last day of the fiscal year in which we have $1.235 billion or more in annual revenue; (iii) the date on which we first qualify as a large accelerated filer under the rules of the SEC; and (iv) the date on which we have, in any three-year period, issued more than $1.0 billion in non-convertible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as defined by Item 10(f)(1) of Regulation S-K, we are not required to provide the information required by this item.</w:t>
      </w:r>
    </w:p>
    <w:p>
      <w:pPr>
        <w:pStyle w:val="TextBody"/>
        <w:bidi w:val="0"/>
        <w:spacing w:before="360" w:after="283"/>
        <w:jc w:val="left"/>
        <w:rPr>
          <w:rFonts w:ascii="Times New Roman" w:hAnsi="Times New Roman"/>
          <w:sz w:val="20"/>
        </w:rPr>
      </w:pPr>
      <w:bookmarkStart w:id="11" w:name="item_4_controls_and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management, with the participation and supervision of our Chief Executive Officer and our Chief Financial Officer, have evaluated our disclosure controls and procedures as defined in Rules 13a-15(e) and 15d-15(e) under the Securities Exchange Act of 1934, as amended (the Exchange Act). Based on that evaluation, our Chief Executive Officer and our Chief Financial Officer have concluded that, as a result of the material weakness in our internal control over financial reporting described below, as of June 30, 2026, our disclosure controls and procedures were not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Material weakness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preparation of our financial statements for the years ended December 31, 2024 and 2025, we identified a material weakness in our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material weakness is a deficiency, or combination of deficiencies, in internal control over financial reporting, such that there is a reasonable possibility that a material misstatement of our annual or interim financial statements would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effective controls related to the period-end financial reporting process to ensure adequate segregation of duties, including controls related to account reconciliations and journal entries. Specifically, certain personnel have incompatible duties including the ability to (i) create and post manual journal entries without an independent review and (ii) prepare and review account reconciliations.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material weakness did not result in a misstatement to our financial statements. However, this material weakness could result in a misstatement of substantially all of our accounts or disclosures that would result in a material misstatement of our annual or interim financial statements that would not be prevented or detected.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Management’s Plan to Remediate the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remediate the material weakness, we have designed and started to implement control activities in response to the risks posed as a result of the lack of segregation of duties in the period-end financial reporting process, including control activities related to journal entries and account reconciliations, and control activities related to journal entries in the information systems.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changes in our internal control over financial reporting (as defined in Rules 13a-15(f) and 15d-15(f) under the Exchange Act) that occurred during the quarter ended June 30, 2026, that have materially affected, or are reasonably likely to materially affect, our internal control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There are currently no claims or actions pending against us, the ultimate disposition of which we believe could have a material adverse effect on our results of operations. Regardless of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40"/>
        <w:jc w:val="both"/>
        <w:rPr>
          <w:rFonts w:ascii="Times New Roman" w:hAnsi="Times New Roman"/>
          <w:sz w:val="20"/>
        </w:rPr>
      </w:pPr>
      <w:r>
        <w:rPr>
          <w:rFonts w:ascii="Times New Roman" w:hAnsi="Times New Roman"/>
          <w:i/>
          <w:color w:val="000000"/>
          <w:sz w:val="20"/>
        </w:rPr>
        <w:t>You should carefully consider the risks described below, as well as all of the other information contained in this Quarterly Report and in our other public filings, including in the section titled “Management’s Discussion and Analysis of Financial Condition and Results of Operations,” and in our condensed unaudited financial statements and the related notes appearing elsewhere in this Quarterly Report and in our other public filings, which could materially affect our business, financial condition or future results. While we believe that the risks and uncertainties described below are the material risks currently facing us, additional risks that we do not yet know of or that we currently think are immaterial may also arise and materially affect our business, financial condition, results of operations and prospects. If any of the following risks materialize, our business, financial condition, results of operations and prospects could be materially and adversely affected. In that case, the trading price of our common stock could decline, and you may lose some or all of your investment.</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We may disclose changes to risk factors or additional risk factors from time to time in our future filings with the SEC.</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Limited Operating History, Financial Position and Need for Additional Capital</w:t>
      </w:r>
    </w:p>
    <w:p>
      <w:pPr>
        <w:pStyle w:val="TextBody"/>
        <w:bidi w:val="0"/>
        <w:jc w:val="left"/>
        <w:rPr>
          <w:rFonts w:ascii="Times New Roman" w:hAnsi="Times New Roman"/>
          <w:i/>
          <w:color w:val="000000"/>
          <w:sz w:val="20"/>
        </w:rPr>
      </w:pPr>
      <w:r>
        <w:rPr>
          <w:rFonts w:ascii="Times New Roman" w:hAnsi="Times New Roman"/>
          <w:i/>
          <w:color w:val="000000"/>
          <w:sz w:val="20"/>
        </w:rPr>
        <w:t>We are a clinical-stage biotechnology company with a limited operating history. We have no history of commercializing products, which may make it difficult to evaluate our approach to the discovery and development of our product candidates and the prospects for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with a limited operating history. We were formed in November 2018, and our operations to date have been limited to organizing, staffing, and financing our company, business planning, conducting research and development activities, conducting preclinical studies and clinical trials for our product candidates, and establishing our intellectual property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Onzotrigine and LTG-321 are in clinical development, and LTG-418 and our other product candidates and programs are in preclinical development or discovery stages. We have not yet demonstrated an ability to successfully obtain regulatory approvals, manufacture a commercial-scale product or arrange for a third party to do so on our behalf, conduct sales and marketing activities necessary for successful product commercialization or generate revenues. We may encounter unforeseen expenses, difficulties, complications, delays and other known or unknown factors in achieving our business objectives. Accordingly, you should consider our prospects in light of the costs, uncertainties, delays and difficulties frequently encountered by companies in clinical development, especially clinical-stage biotechnology companies such as ours. Any predictions you make about our future success or viability may not be as accurate as they could be if we had a longer operating history or a history of successfully developing and commercializing pharmaceutical products.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have incurred substantial losses since our inception. As of June 30, 2026, our accumulated deficit was approximately $291.9 million. We anticipate incurring substantial and increasing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Our net loss was $25.8 million for the three months ended June, 2026 and 2025, and $48.8 million and $46.8 million and for the six months ended June 30, 2026 and 2025, respectively. As of March 31, 2026, we had an accumulated deficit of approximately $291.9 million. Substantially all of our losses have resulted from expenses incurred in connection with research and development, preclinical study and clinical trial costs, and from general and administrative costs associated with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incur significant expenses and additional operating losses for the foreseeable future as we seek to advance our product candidates through preclinical and clinical development, expand our research and development activities, develop new product candidates, complete clinical trials, seek regulatory approval and prepare to, and if we receive regulatory approval, commercialize our products. Furthermore, the costs of advancing product candidates into each succeeding clinical phase tend to increase substantially over time. The total costs to advance any of our product candidates to regulatory approval in even a single jurisdiction would be substantial.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are unable to accurately predict the timing or amount of increased expenses or when, or if, we will be able to generate any revenue from the commercialization of any approved products or achieve or maintain profitability. Our expenses will also increase substantially as we operate as a public company and add clinical, scientific, operational, financial and management information systems and personnel, including personnel to support our product development and planned future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product candidates approved for commercial sale and have not generated any revenue from the sale of products. Our ability to become and remain profitable depends on our ability to generate revenue. We do not expect to generate significant revenue, if any, unless and until we, either alone or with a collaborator, are able to obtain regulatory approval for, and successfully commercialize, our product candidates for their initial and potential additional indications, or any other product candidates we may develop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commercialization will require achievement of many key milestones, including demonstrating each product candidate’s safety and efficacy in clinical trials, obtaining regulatory approval for these product candidates, manufacturing, marketing and selling those products for which we, or any of our future collaborators,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expenses or when, or if, we will be able to generate any revenue, the extent of any further losses, or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 Additionally, our expenses could increase if we are required by the FDA, or any comparable foreign regulatory authority, to perform clinical trials in addition to those currently expected, or if there are any delays in completing our clinical trials or in the nonclinical or manufacturing-related activities associated with the development of our product candidates. Even if we succeed in obtaining regulatory approvals for and commercializing onzotrigine, LTG-321 or LTG-418, we expect to incur substantial development costs and other expenditures to develop and market additional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encounter unforeseen expenses, difficulties, complications, delays and other unknown factors that may adversely affect our business. The size of our future net losses will depend, in part, on the rate of future growth of our expenses and our ability to generate revenue or raise additional capital. Our prior losses and expected future losses have had and will continue to have an adverse effect on our stockholders’ equity and our working capital. Our failure to become and remain profitable may depress the market price of our common stock and could impair our ability to raise capital, expand our business, build out our pipeline or continue our operations. If we continue to suffer losses as we have in the past, you may not receive any return on your investment and may lose your entire investment.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will require substantial additional financing to achieve our goals, which may cause dilution to our stockholders, and failure to obtain additional capital when needed, or on acceptable terms to us, could cause us to delay, limit, reduce or terminate our product development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pharmaceutical product candidates is capital-intensive. We expect to continue to spend substantial amounts of cash to conduct further research and development, preclinical studies, and clinical trials of our current and any future product candidates, to seek regulatory approvals for our product candidates and to prepare for and launch and commercialize any products if we receive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As of June 30, 2026, we had $55.0 million of 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estimate that our existing cash and cash equivalents, together with the net proceeds from our IPO, will be sufficient to fund our projected operating expenses and capital expenditure requirements into 2029. Our future capital requirements and the period for which our existing resources will support our operations may vary significantly from what we expect, and we will in any event require additional capital in order to complete clinical development of our current programs. Our monthly spending levels will vary based on new and ongoing development and corporate activities. Because the length of time and activities associated with development of our product candidates and programs is highly uncertain, we are unable to estimate the actual funds we will require for development and any approved marketing and future commercialization activities, if any.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clinical trials required for regulatory approval of our current or future product candidates, which may differ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between the United States and other countries or regions;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current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acquiring or licensing additional product candidates, technologies or assets, including the timing and amount of any milestones, royalties or other payments due in connection with our acquisitions and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clinical and commercial supplies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product candidate for which we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the product candidate(s) for which we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to 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payors for any products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mitigate the impact of adverse macroeconomic conditions or geopolitical events and conflicts, including any health epidemics and their residual effects, bank failures or inflation and increased interest rates, on our preclinical and clinical development or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require substantial additional capital to achieve our business objectives, which we may raise through public or private equity offerings, debt financings or other capital sources, including strategic collaborations, licenses and other similar arrangements to enable us to complete the development and potential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funds may not be available on a timely basis, on favorable terms or at all, and such funds, if raised, may not be sufficient to enable us to continue to implement our long-term business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we raise additional funds through future collaborations, licenses and other similar arrangements, we may have to relinquish valuable rights to our future revenue streams or product candidates or grant licenses on terms that may not be favorable to us and/or that may reduce the value of our common stock. Market volatility resulting from potential negative global economic conditions and disruptions in the United States and international credit and financial markets including due to geopolitical conflicts, tariffs, other fiscal and trade policy changes, bank failures, supply chain and labor disruptions, the effects of a health epidemic or pandemic or other factors may further adversely impact our ability to access capital as and when needed.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development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Regulatory Approval of Our Product Candidates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are unable to successfully develop, obtain approval and commercialize treatments for acute and chronic pain,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two product candidates in clinical development. Onzotrigine is being developed for the treatment of moderate to severe acute pain, including postoperative pain, with an intended use, as needed, for up to 30 days, and LTG-321 is being developed initially for the treatment of chronic musculoskeletal pain. We have completed a clinical trial for onzotrigine for the treatment of moderate to severe acute pain in patients undergoing abdominoplasty, which, based on our discussions with the FDA, may serve as one of the two pivotal adequate well-controlled trials required to demonstrate efficacy to support approval of onzotrigine for the treatment of moderate to severe acute pain, including postoperative pain. We plan to conduct a placebo-controlled Phase 3 trial in patients undergoing bunionectomy and an open-label Phase 3 safety trial exploring onzotrigine within a broader population of patients with moderate to severe acute pain across a variety of post-surgical and non-surgical settings to meet FDA requirements for patient exposures. We have also completed Phase 1 clinical trials for LTG-321 for the treatment of chronic pain and have initiated a Phase 2 clinical trial investigating LTG-321 in participants with chronic pain associated with osteoarthritis of the knee. We also have a product candidate in preclinical development, LTG-418, which is being developed for the treatment of acute and chronic pain. If we do not obtain approval of onzotrigine, LTG-321 or LTG-418 or any of our future product candidates, our business may be materially harmed. Even if we receive regulatory approval for onzotrigine, LTG-321 or LTG-418 or any of our future product candidates, they may not gain or maintain market acceptance among physicians and patients or other members of the medical community. In addition to the risks normally associated with launching a new branded product, onzotrigine, LTG-321 and LTG-418 will need to compete in a mature pain market that includes low-cost generic drugs, including opioids, non-steroidal anti-inflammatory drugs, acetaminophen and local anesthetics. If we are not able to successfully develop, obtain approval for and commercialize treatments for acute and chronic pain, our future net product revenues and cash flows will be adversely affected and our business could be materially harmed.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only have two product candidates, onzotrigine and LTG-321, in clinical development. If we are unable to continue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product candidates, onzotrigine and LTG-321, which are in clinical development. We also have a product candidate in preclinical development, LTG-418. We will need to continue to progress onzotrigine, LTG-321 and LTG-418 through our ongoing and planned clinical trials and progress any future development program through preclinical studies and submit INDs to the FDA or comparable foreign regulatory applications to applicable foreign regulatory authorities prior to initiating their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generate product revenues, which we do not expect will occur for a number of years, if ever, will depend heavily on the successful development and eventual commercialization of our product candidates. The success of our product candidates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preclinical studies with favorable results, including certain studies required to be in compliance with good laboratory practice (GLP)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 in accordance with good clinical practice (GCP) requirements and other applicable rules and regulations and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toxicology and clinical pharmacology with favorable results, which are necessary to advance our product candidates into subsequent phases of clinical trials or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sufficiency of our financial and other resources to complete the necessary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allowance to proceed with clinical trials under INDs by the FDA or under similar regulatory submissions by applicable foreign regulatory authorities for the conduct of clinical trials of our product candidates and our proposed design of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establishing relationships with contract research organizations (CROs) and clinical sites for the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the safety and efficacy of our product candidates to the satisfaction of the FDA and other applicable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abdominoplasty trial to serve as one of the two adequate well-controlled trials required to demonstrate efficacy to support approval of onzotrigine for the treatment of moderate to severe acute pain, including postoperative pain;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regulatory approvals from applicable regulatory authorities, including new drug applications (NDAs) from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and approvals from comparable foreign regulatory authorities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arrangements with third-party manufacturers, or manufacturing sufficient quantities of product candidates for clinical and commercial use using our own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launching commercial sales of our products, if and when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any products we develop and their benefits and uses,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patent and trade secret protection or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healthcare coverage and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our products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and maintaining an organization of people who can successfully develop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yet succeeded and may not succeed in demonstrating efficacy and safety for any product candidates in clinical trials to support obtaining regulatory approval. Given our stage of development, it may take multiple years before we can demonstrate the safety and efficacy of a product candidate sufficient to warrant approval for commercialization, if we can do so at all. If we are unable to develop, or obtain regulatory approval for, or, if approved, successfully commercialize our product candidates, we may not be able to generate sufficient revenue to continue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approach to the development of product candidates is unproven, and we do not know whether we will be able to develop any products of commercial value, or if competing technological approaches will limit the commercial value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identify, develop and obtain regulatory approval for and commercialize our product candidates. While we have had favorable preclinical study and early clinical trial results, we may not succeed in demonstrating efficacy and safety for any product candidates in subsequent clinical trials or in obtaining regulatory approval thereafter.</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Our approach focuses on Na</w:t>
      </w:r>
      <w:r>
        <w:rPr>
          <w:rFonts w:ascii="Times New Roman" w:hAnsi="Times New Roman"/>
          <w:color w:val="000000"/>
          <w:sz w:val="13"/>
        </w:rPr>
        <w:t>v</w:t>
      </w:r>
      <w:r>
        <w:rPr>
          <w:rFonts w:ascii="Times New Roman" w:hAnsi="Times New Roman"/>
          <w:color w:val="000000"/>
          <w:sz w:val="20"/>
        </w:rPr>
        <w:t>1.8 inhibition, which addresses peripheral pain signaling. Certain pain states involve central sensitization and brain-based pain processing mechanisms that are not directly targeted by Na</w:t>
      </w:r>
      <w:r>
        <w:rPr>
          <w:rFonts w:ascii="Times New Roman" w:hAnsi="Times New Roman"/>
          <w:color w:val="000000"/>
          <w:sz w:val="13"/>
        </w:rPr>
        <w:t>v</w:t>
      </w:r>
      <w:r>
        <w:rPr>
          <w:rFonts w:ascii="Times New Roman" w:hAnsi="Times New Roman"/>
          <w:color w:val="000000"/>
          <w:sz w:val="20"/>
        </w:rPr>
        <w:t>1.8 inhibition. If central pain components are significant drivers of pain in the patient populations we target, the efficacy of onzotrigine, LTG-321, LTG-418 and any of our future product candidates may be limited or less durable than anticipated. In addition, there is uncertainty regarding whether repeated or chronic dosing of Na</w:t>
      </w:r>
      <w:r>
        <w:rPr>
          <w:rFonts w:ascii="Times New Roman" w:hAnsi="Times New Roman"/>
          <w:color w:val="000000"/>
          <w:sz w:val="13"/>
        </w:rPr>
        <w:t>v</w:t>
      </w:r>
      <w:r>
        <w:rPr>
          <w:rFonts w:ascii="Times New Roman" w:hAnsi="Times New Roman"/>
          <w:color w:val="000000"/>
          <w:sz w:val="20"/>
        </w:rPr>
        <w:t>1.8 inhibitors may lead to compensatory mechanisms or tolerance, reducing therapeutic effect over time. If tolerance develops or central pain mechanisms limit efficacy, our product candidates may fail to demonstrate sufficient clinical benefit to support regulatory approval or commercial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unsuccessful in using our approach to identify additional product candidates, and any of our product candidates may be shown to have harmful side effects or may have other characteristics that may necessitate additional clinical testing or make the product candidates unmarketable or unlikely to receive or maintain regulatory approval. In particular, any failure of one of our development programs, or a competitor’s product or development program that is pursuing a similar approach, could create a perception that our other programs are less likely to succeed or that our approach is not viable.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pharmaceutical industry is characterized by rapidly advancing technologies. Our future success will depend in part on our ability to maintain a competitive position with our approach. If we fail to stay at the forefront of technological change in using our approach to create and develop product candidates, we may be unable to compete effectively. Our competitors may render our approach obsolete or limit the commercial value of our product candidates through advances in existing technological approaches or the development of new or different approaches. By contrast, adverse developments with respect to other companies that attempt to use a similar approach to our approach may adversely impact the actual or perceived value of our approach and potential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these events occur, our ability to successfully discover, develop and commercialize any product candidates may be impaired and the value of our company could decline significantly.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Preclinical and clinical development involves a lengthy and expensive process, with an uncertain outcome, and results of earlier studies and trials may not be predictive of future trial or real-world results. Our product candidates may not have favorable results in clinical trials or preclinical studies or receive regulatory approval on a timely basis, if at all.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Onzotrigine and LTG-321 are in clinical development and LTG-418 is in preclinical development. The risk of failure of our product candidates is high. It is impossible to predict when or if our product candidates will receive regulatory approval. To obtain the requisite regulatory approvals to commercialize our product candidates, we must demonstrate through lengthy, complex and expensive clinical trials that our product candidates are safe and effective in patient populations for the intended indication(s) for use. Preclinical studies and clinical trials can take many years to complete, and their outcomes are inherently uncertain. Failure can occur at any time during the preclinical study or clinical trial process, despite promising preclinical or clinical results. The results of preclinical studies and early clinical trials of our product candidates may not be predictive of the results of later-stage clinical trials, and results in one indication may not be predictive of results to be expected for the same product candidates in another indication. Specifically, results from any single acute pain model may not be predictive of results in other acute pain models or indications within musculoskeletal pain. For example, results from studies in an abdominoplasty model may not predict results in a bunionectomy model or other musculoskeletal indications. Additionally, results from our previously conducted dental pain study, which showed no active treatment separated from placebo with statistical significance, were not replicated in our abdominoplasty trial. We cannot ensure that results obtained in any completed or ongoing study will be replicated in future studies across different indications or patient populations, including in any proposed chronic pain indications. Results observed in acute pain studies may not be predictive of efficacy or safety in chronic pain settings, which involve fundamentally different patient populations, dosing regimens and disease mechanisms.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differences in trial design between early-stage clinical trials and later-stage clinical trials make it difficult to extrapolate the results of earlier clinical trials to later clinical trials. A number of companies in the pharmaceutical industry have suffered significant setbacks in advanced clinical trials due to lack of efficacy or unfavorable safety profiles, notwithstanding promising results in earlier trials.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our product candidates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We may be unable to establish clinical endpoints that applicable regulatory authorities would consider clinically meaningful. Moreover, preclinical and clinical data are often susceptible to varying interpretations and analyses, and many companies that have believed their product candidates achieved promising results have nonetheless failed to obtain regulatory approval of such product candidates or, upon commercialization, achieve or maintain positive real-world results. More specifically, the FDA’s regulatory expectations for non-opioid pain therapies continue to evolve, and we cannot predict how changing agency priorities, review standards or guidance documents applicable to this therapeutic class may affect the regulatory pathway for onzotrigine, LTG-321, LTG-418 and any of our future product candidates. The FDA may impose novel requirements, including additional or expanded clinical trials, different primary endpoints or heightened safety data thresholds, that are specific to non-opioid analgesics and that were not contemplated at the time we designed our clinical program. Any such changes could significantly delay approval, if any, increase development costs, or require us to substantially modify our development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Most product candidates that commence clinical trials are never approved as commercial products and there can be no assurance that any of our current or future clinical trials will ultimately be successful or support the approval of our current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delays in initiating or completing clinical trials or reporting data readouts for such trials, due to unforeseen events or otherwise, that could delay or prevent our ability to receive regulatory approval or commercialize our current and any future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such as the FDA or comparable foreign regulatory authorities, Institutional Review Boards (IRBs) or ethics committees may impose additional requirements before permitting us to initiate a clinical trial, may not authorize us or our investigators to commence or conduct a clinical trial at a prospective trial site, may not allow us to amend trial protocols or regulators may disagree as to the design or implementation of our clinical trials and require that we modify or amend our clinical trial protocols or statistical analysis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terms with CROs or with individual clinical trial sites, the terms of which can be subject to extensive negotiation and may vary significantly among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identifying, recruiting and training suitable clinical investigators;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refusing to approve, suspending or terminating the trial at an investigational site, precluding enrollment of additional participants or withdrawing their approval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or amendments to the clinical trial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may deviate from the trial protocol, fail to ensure the integrity of the data being collected at the site or drop out of a trial;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any of our third-party contractors to perform in accordance with GCP requirements or applicable regulatory rules and guidelines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participants required for clinical trials may be larger than we anticipate, we may experience difficulty in finding and enrolling sufficient qualified patients for our trials, enrollment in clinical trials may be slower than we anticipate or participants may drop out or fail to return for post-treatment follow-up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may fail to enroll or remain in our trials at the rate we expect, or fail to return for post-treatment follow-up, including participants failing to remain in our trials due to movement;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choosing an alternative product for the indications for which we are developing our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quality or quantity of data relating to our product candidates or other materials necessary to conduct our clinical trials may be inadequate to initiate or complete a given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difficulties in manufacturing, or fail to manufacture, sufficient quantities of our product candidates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experiencing severe or serious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from clinical testing conducted by other companies of other therapies in the same class of agents that could be considered similar to our product candidates may raise safety, tolerability or efficacy concerns about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may be greater than we anticipate, and we may lack adequate funding to initiate or continue one or more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facility manufacturing our product candidates or any of their components being ordered by the FDA or comparable foreign regulatory authorities to temporarily or permanently suspend production due to violations of current Good Manufacturing Practice (cGMP) regulations or other applicable requirements or cross-contaminations of product candidates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our manufacturing processes may be necessary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being unwilling or unable to satisfy their contractual obligations to us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could become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planned marketing applications;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must be conducted in accordance with the FDA and other applicable regulatory authorities’ legal requirements, regulations and guidelines, and remain subject to oversight by these governmental agencies as well as ethics committees or IRBs responsible for overseeing the conduct of clinical trials and ensuring the welfare of the research participants. We could encounter delays if a clinical trial is suspended or terminated by us, the IRBs of the institutions in which such trials are being conducted, the FDA or comparable foreign regulatory authorities or the Data Safety Monitoring Board for such trial. A suspension or termination may be imposed due to a number of factors, including failure to conduct the clinical trial in accordance with regulatory requirements or our clinical trial protocols, adverse findings from inspection of the clinical trial operations or trial site by the FDA or comparable foreign regulatory authorities, unforeseen safety issues or adverse side effects, failure to establish or achieve clinically meaningful trial endpoints, changes in governmental regulations or administrative actions or lack of adequate funding to continue the clinical trial. For example, the FDA placed our IND for onzotrigine on a clinical hold from May 2024 to November 2024 due to insufficient nonclinical data to support the initial submission of our abdominoplasty pain trial in April 2024.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 Clinical trials may also be delayed or terminated as a result of ambiguous or negative interim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have in the past and may in the future create synthetic molecules for comparative purposes. For example, we have created a synthetic version of suzetrigine for use in preclinical studies. We believe the results of these studies help us understand how the therapeutic index of our product candidates compare to competitor products. However, we cannot be certain that any synthetic molecule that we create is the same as the molecule we are attempting to recreate, and the results of the studies comparing any such synthetic molecule to any other product candidate may be different than the actual results of a head-to-head study of any such product candidate against a competitor molecule. Additional preclinical and clinical testing will be needed to evaluate the therapeutic index of our product candidates, and to understand their therapeutic potential relative to approved drugs and other product candidates in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conducting clinical trials in foreign countries, as we are doing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factors that cause, or lead to, a delay in the commencement or completion of, or the termination or suspension of clinical trials may also ultimately lead to the denial of regulatory approval of our product candidates. Further, the FDA may disagree with our interpretation of data from clinical trials or may change the requirements for approval even after it has reviewed and commented on the design for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conduct preclinical and clinical research in collaboration with other academic, pharmaceutical or biotechnology entities in which we combine our development efforts with those of our collaborators. Such collaborations may be subject to additional delays because of the management of the trials, contract negotiations and the need to obtain agreement from multiple parties, which may increase our future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development costs will increase if we experience delays in clinical testing or in seeking regulatory approvals. We do not know whether any of our clinical trials will begin as planned, will need to be redesigned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if approved. Any delays or increase in costs in our clinical development programs may harm our business, financial condition, results of operations and prospects.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may find it difficult to enroll patients in our clinical trials. 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is a significant factor in the timing of clinical trials, and the timing of our clinical trials depends, in part, on the speed at which we can recruit and enroll patients to participate in our trials, as well as completion of required follow-up periods. We may not be able to initiate or continue clinical trials for our product candidates if we are unable to identify and enroll a sufficient number of eligible patients to participate in these trials to such trial’s conclusion as required by the FDA or comparable foreign regulatory authorities.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affected by many factors including the size and nature of the patient population, competing clinical trials in the same or similar indications or at the same trial site, the severity of the condition under investigation, the availability and efficacy of approved drugs and diagnostics for the condition under investigation, the number and location of clinical sites, the proximity of patients to clinical sites, willingness of patients to participate in a decentralized clinical trial that may involve remote monitoring technologies, the inclusion and exclusion criteria for the trial, perceived risks and benefits of the product candidate under study, the design of the clinical trial, continued enrollment of prospective patients by clinical trial sites, the risk that enrolled patients will not complete a clinical trial, our ability to recruit clinical trial investigators with the appropriate competencies and experience, efforts to facilitate timely enrollment in clinical trials, patient referral practices of physicians, the ability to monitor patients adequately during and after treatment, competing clinical trials and clinicians’ and patients’ perceptions as to the potential advantages and risks of the product candidate being studied in relation to other available therapies, including any new products that may be approved for, or any product candidates under investigation for, the indications we are investigating. Clinical trial recruitment and enrollment activities may also be delayed as a result of macro-factors such as public health emergencies or pandemics, natural disasters and acts of terror or war.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are able to enroll a sufficient number of patients in our clinical trials, we may have difficulty maintaining enrollment of such patients, and delays in enrollment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 pharmaceutical or biotechnology companies targeting these same conditions may be recruiting clinical trial patients from similar patient populations, which may make it more difficult in the future to fully enroll any clinical trials. Our inability to enroll a sufficient number of patients for any of our future clinical trials would result in significant delays or may require us to abandon one or more clinical trials altogether. In addition, we expect to rely on clinical trial sites to ensure proper and timely conduct of our future clinical trials and, while we intend to enter into agreements governing their services, we will have limited influence over their actual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our assumptions used in determining expected clinical trial timelines are correct or that we will not experience delays in enrollment, which would result in the delay of completion of such trials beyond our expected timelines.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Use of our product candidates could be associated with adverse side effects, adverse events or other safety risks, which could delay or preclude the candidate’s approval, cause us to suspend or discontinue clinical trials, cause us to abandon the product candidates, limit the commercial profile of any future approved product or result in other significant negative consequences that could severely harm our business, prospects,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our clinical trials could reveal a high and unacceptable severity and prevalence of side effects or unexpected characteristics related to our product candidates. Undesirable side effects caused by our product candidates could cause us, the IRB or regulatory authorities to interrupt, delay or halt clinical trials or cause the delay or denial of regulatory approval by the FDA or comparable foreign regulatory authorities, or, if such product candidate is approved, result in a more restrictive label, including an inability to include an opioid-free label claim,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product candidates are associated with undesirable side effects or have unexpected characteristics in clinical trials,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our initial clinical programs target acute pain in otherwise generally healthy patient populations, such as patients undergoing elective surgical procedures, even modest safety or tolerability signals may be viewed as unacceptable by the FDA, the IRB, clinical investigators or prescribers. Regulators and prescribers may apply a stricter risk-benefit standard to a product candidate intended for use in healthy individuals than they would for therapies targeting serious or life-threatening conditions. The full safety and tolerability profile of onzotrigine, LTG-321 and LTG-418 cannot be assessed until substantially larger and longer studies have been completed, and unexpected findings in later trials could result in clinical holds, restrictive labeling, Risk Evaluation and Mitigation Strategy (REMS) requirements or reduced market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in our ongoing and planned clinical trials may in the future suffer significant adverse events or other side effects not observed in our preclinical studies or previous clinical trials. Even if such side effects do not preclude the product candidates from obtaining or maintaining regulatory approval, undesirable side effects may not support an opioid-free label claim or inhibit market acceptance due to tolerability concerns as compared to other available therapies. Any of these developments could materially harm our business, financial condition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our product candidates receive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candidates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Other potentially significant negative consequences associated with post-marketing identification of adverse events or other safety risks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suspend marketing of a product, or we may decide to remove such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or modify their approvals of a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or new contraindications on the label, or may limit access of a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a product for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a product is distributed or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 or be sued and held liable for harm caused to participants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may become less competitive, and our reputation may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may expend our limited resources to pursue a particular product candidate or a particular indication and fail to capitalize on product candidates or indications that may present a greater commercial opportunity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resources, we must choose to pursue and fund the development of specific product candidates. Our resource allocation and other decisions may cause us to fail to identify and capitalize on viable potential product candidates or additional indications or other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indication or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data analyses,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also disclose interim data from our preclinical studies and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condition. Adverse differences between interim data and final data could significantly harm our business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could adversely affect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Even if we complete the necessary preclinical studies and clinical trials, the regulatory approval process is expensive, time-consuming and uncertain and may prevent us or any future collaboration partners from obtaining approvals for the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candidates we may develop and the activities associated with their development and commercialization, including their design, testing, manufacture, recordkeeping, labeling, storage, approval, advertising, promotion, import, export, marketing and distribution, are subject to comprehensive regulation by the FDA and other regulatory authorities in the United States and by comparable foreign regulatory authorities. Failure to obtain regulatory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regulatory approvals. Although we believe that we have the capabilities to conduct preclinical studies and clinical trials and to eventually submit regulatory approval applications using our internal resources, we selectively employ and may in the future rely on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obtaining regulatory approvals, both in the United States and abroad, is expensive, often takes many years following the commencement of clinical trials, if approval is obtained at all, and can vary substantially based upon a variety of factors, including the type, complexity and novelty of the product candidates involved, as well as the target indications and patient populations. Changes in regulatory approval policies during the development period, changes in or the enactment of additional statutes or regulations or changes in regulatory review for each submitted product application, may cause delays in the approval or rejection of an application. 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can delay, limit or deny approval of a product candidate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the design or execution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ambiguous results from our clinical trials or results may not meet the level of statistical significance or persuasiveness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patients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accept clinical data from trials that are conducted at clinical facilities or in countries where the standard of care is potentially different from that of their own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our interpretation of data from preclinical studies or clinical trials;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us regarding the formulation, labelling and/or the product specifications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may be granted only for indications that are significantly more limited than those sought by us, and/or may include significant restrictions on distribution and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find deficiencies in the manufacturing processes or facilities of the third-party manufacturers with which we contract for clinical and commercial supplies;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accept a submission due to, among other reasons, the content or formatting of the submission.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foreign markets, approval procedures vary among countries and, in addition to the foregoing risks, may involve additional product testing, administrative review periods and agreements with pricing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REMS, which may be required because the FDA believes it is necessary to ensure safe use of the product after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delays in obtaining approval or if we fail to obtain approval of any product candidates we may develop, the commercial prospects for those product candidates, including for other targeted indications, may be harmed and our ability to generate revenues will be materially impaired.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are conducting and plan to conduct additional clinical trials for our product candidates outside the United States and the FDA may not accept data from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and plan to conduct additional clinical trials outside the United States. For example, we have completed Phase 1 trials for onzotrigine and LTG-321 in New Zealand. The acceptance of study data from clinical trials conducted outside the U.S. or another jurisdiction by the FDA or comparable foreign regulatory authority may be subject to certain conditions or may not be accepted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data from foreign clinical trials are intended to serve as the sole basis for regulatory approval in the United States, the FDA will not approve the application on the basis of foreign data alone unless those data are applicable to the U.S. population and U.S. medical practice, the clinical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clinical trials would be subject to the applicable local laws of the foreign jurisdictions where the clinical trials are conducted.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conduct of clinical trials outside the United States could have a significant impact on us. Risks inherent in conducting international clinical trials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regulatory requirements that could burden or limit our ability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legal requirements applicable to privacy, data protection, information security and other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value-added tax, withholding and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administrative burdens of conducting clinical trials under multiple foreign regulatory schema;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customs, shipment and storage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geopolitical events or a public health crisis on our ability to produce our product candidates and conduct clinical trials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Foreign Corrupt Practices Act of 1977, as amended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cultural differences in medical practice and clinical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regulatory approval for our product candidates outside the United States. Foreign regulatory authorities have requirements for approval of product candidates with which we must comply prior to marketing in those jurisdictions. Obtaining and maintaining regulatory approval of our product candidates in one jurisdiction does not guarantee that we will be able to obtain or maintain regulatory approval in any other jurisdiction. However,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also must approve the manufacturing, marketing and promotion of the product candidate in those jurisdictions.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addition, in some jurisdictions outside the United States, a product candidate must be approved for reimbursement before it can be approved for sale in that jurisdiction. In some cases, the price that we intend to charge for our products also is subject to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foreign regulatory approvals and compliance with foreign regulatory requirements could result in significant delays, difficulties and costs for us and could delay or prevent the introduction of our products in certain countries. We do not have any product candidates approved for sale in any jurisdiction, including in international markets, and we do not have experience in obtaining regulatory approval in international markets. If we fail to comply with the regulatory requirements in international markets and/or receive and maintain applicable regulatory approvals, or if regulatory approvals in international markets are delayed, our target market will be reduced and our ability to realize the full market potential of our product candidates will be harmed, which could adversely affect our business, results of operations and financial condition.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methods of product candidate manufacturing or formulation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progress through clinical trials to regulatory approval and commercialization, it is common that various aspects of the development program, such as manufacturing methods and formulation, are altered along the way in an effort to optimize safety, efficacy, stability, purity, yield and manufacturing batch size, minimize costs and achieve consistent quality and results. Such changes carry the risk that they will not achieve these intended objectives and/or may lead to delays and additional costs. Additionally, any changes we may make to our product candidates may cause such candidates to perform differently than in prior clinical trials or could negatively affect our ability to utilize or interpret our existing data. Such changes could delay initiation or completion of clinical trials, lead to negative trial results, require the conduct of bridging studies or clinical trials or the repetition of one or more studies or clinical trials, increase development costs, delay potential regulatory approval and jeopardize our ability to commercialize our product candidates or generate revenue.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have received Fast Track Designation for onzotrigine for the treatment of acute pain; however, there is no guarantee that a Fast Track Designation will lead to a faster development, regulatory review or approval process, nor does it increase the likelihood that our product candidates will receive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18, 2025, the FDA granted Fast Track Designation for onzotrigine for the treatment of acute pain. Depending on the data from our preclinical studies and clinical trials, we may decide to seek Fast Track Designation for some or all of our other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Fast Track program is intended to expedite or facilitate the process for reviewing product candidates that meet certain criteria. Specifically, drugs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submission of the sections of the NDA, the FDA agrees to accept sections of the NDA and determines that the schedule is acceptable, and the sponsor pays any required user fees upon submission of the first section of the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broad discretion whether or not to grant this designation, so even if we believe a particular product candidate is eligible for this designation, we cannot assure you that the FDA would decide to grant it. Even if we do receive Fast Track Designation for our product candidate, it may not experience a faster development process, review or approval compared to conventional FDA procedures. The FDA may also withdraw the Fast Track Designation if it believes that the designation is no longer supported by data from our clinical development program. Furthermore, such a designation does not increase the likelihood that the product candidate will receive regulatory approval in the United States. Many product candidates that have received Fast Track Designation have ultimately failed to obtain approval.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and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will need to grow our organization, and we may experience difficulties in managing our growth and expanding our operations,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66 full-time employees. As we continue development and pursue the potential commercialization of our product candidates, and as we continue to operate as a public company, we expect to expand our employee base for managerial, development, regulatory, financial, information technology, marketing and sales capabilities, or contract with third parties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which may lead to significant costs and may divert management attention. We may not be able to implement improvements to our management information and control systems in an efficient or timely manner and may discover deficiencies in existing systems and controls. Our inability to successfully manage our growth and expand our operations could adversely affect our business, financial condition, results of operations and prospects.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are dependent on the services of our management and other clinical and scientific personnel, and if we are not able to retain these individuals or recruit additional management or clinical and scientific personnel, our business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Pain therapeutics is a specialized field with a limited pool of scientists, clinicians and drug developers with deep domain expertise. We are highly dependent upon our Chief Executive Officer, Chief Medical Officer and other members of our management team. The loss of services of any of these individuals could delay or prevent the successful development and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Additionally, we do not currently maintain “key person” life insurance on the lives of our executives or any of our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to expand and effectively manage our managerial, operational, financial and other resources in order to successfully pursue our clinical development and commercialization efforts. We may not be successful in maintaining our company culture and continuing to attract or retain qualified management and scientific and clinical personnel in the future due to the intense competition for qualified personnel among pharmaceutical, biotechnology and other businesses.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employee fraud or other illegal activity by our current and any future employees, independent contractors, consultants, commercial partners, CROs, third-party manufacturers and vendors. Misconduct by these parties could include intentional, reckless and/or negligent conduct that fails to comply with FDA or other regulations, provide true, complete and accurate information to the FDA and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our product candidates and begin commercializing the product in the United States, our potential exposure under these laws will increase significantly, and our costs associated with compliance with these laws are likely to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projections regarding the market opportunities for our product candidates may not be accurate and the actual market for our products may be smaller than we estimate.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precise incidence and prevalence for all the conditions we aim to address with our product candidates are unknown. Our projections of both the number of people who have these conditions, as well as the subset of people with these conditions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conditions. The total addressable market of our product candidates, if approved, will ultimately depend upon, among other things, the diagnosis criteria included in the final label for our product candidates approved for sale for these indications, if any, the ability of our product candidates to improve on the safety, convenience, cost and efficacy of competing therapies or therapies in development, acceptance by the medical community and patients, drug pricing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in the United States and other major markets and elsewhere may turn out to be lower than expected, patients may not be otherwise amenable to treatment with our product, if approved, and our product candidates or new patients may become increasingly difficult to identify or gain access to, all of which would adversely affect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business entails a significant risk of product liability and our ability to obtain sufficient insurance coverage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conduct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obtaining approval for, and marketing, products, such claims or certain adverse event trends could result in an investigation by the FDA, comparable foreign regulatory authorities or other regulators into the safety and efficacy of our future approved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future approved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We may need to obtain higher levels of product liability insurance for later stages of clinical development or marketing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carry insurance for all categories of risk that our business may encounter. Some of the policies we currently maintain include property, general liability,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Remote work has increased risks to our information technology systems and data, as our employees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reliance on third parties could introduce cybersecurity risks and vulnerabilities and other threats to our business operations. We rely significantly on third parties to operate critical business systems to process sensitive information in a variety of contexts, including, without limitation, cloud-based infrastructure, data center facilities, encryption and authentication technology, employee email, content delivery to customers, information technology and security, and other functions. We also rely on third parties to provide other products, services, parts or otherwise to operate our business, including with respect to our cybersecurity infrastructure.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through our third-party information security vendors, have implemented security measures designed to protect against security incidents, there can be no assurance that these measures will be complied with or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For example, in February 2026, our third-party information technology and security vendors alerted us to a business email compromise involving one of our employees. While our vendors were able to quickly identify the incident, reset the impacted employee’s credentials, and take other remedial actions, we have been, and expect to continue to be, the target of unsuccessful and successful phishing attacks and related business email compromise. While our vendors did not identify any material loss from the February 2026 incident, we rely significantly on these third parties to identify, investigate, eradicate, and remediate security incidents, and we cannot guarantee that future occurrences will be addressed similarly. A security incident or other interruption could disrupt our ability (and that of third parties with whom we work) to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Security incidents and attendant material consequences may negatively impact our ability to grow and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customer contracts may not contain limitations of liability, and even where they do, there can be no assurance that limitations of liability in our contracts are sufficient to protect us from liabilities, damages or claims related to our data privacy and security obligations. Additionally, our vendor contracts, including those with vendors responsible for our information technology or security functions, may contain limitations of liability that may not cover our liabilities, damages or claims against those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adoption and deployment of AI and machine learning technologies in our operations, and in particular our R&amp;D efforts, may not be effective and may expose us to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AI and machine learning (collectively, AI Technologies)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with many technological innovations, there are significant risks involved in developing, maintaining and deploying these technologies and there can be no assurance that the usage of or any future investments in such technologies will always enhance our products or services or be beneficial to our business, including our efficiency or profitability,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and use of AI Technologies also present various privacy and security risks that may impact our business. For example, AI Technologies are subject to rapidly evolving privacy and data security laws, as well as increasing regulation and scrutiny. Several jurisdictions around the globe, including the European Union (EU) and certain U.S. states, have proposed, enacted, or are considering laws governing the development and use of AI Technologies, such as the EU’s AI Act and the Colorado Artificial Intelligence Act.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existing laws and regulations may be interpreted in ways that could affect the operation of our AI Technologies, or could be rescinded or amended as new administrations take differing approaches to evolving AI Technologies. For example, countries and states are applying their data and consumer protection laws to AI Technologies, and particularly generative AI Technologies and interactive chatbots. Certain privacy laws extend rights to consumers (such as the right to delete certain personal data) and regulate automated decision making, which may be incompatible with our use of AI Technologies. These obligations may make it harder for us to conduct our business using AI Technologies, lead to regulatory fines or penalties, require us to change our business practices, retrain our AI Technologies, or prevent or limit our use of AI Technologies. For example, the Federal Trade Commission has required other companies to turn over (or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Any actual or perceived failure to comply with such laws and regulations could adversely affect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any sensitive information (including confidential, competitive, proprietary or personal data) that we input into a third-party generative AI Technology could be leaked or disclosed to others, including if sensitive information is used to train the third parties’ AI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AI Technologies models may create flawed, incomplete or inaccurate outputs, some of which may appear correct. This may happen if the inputs that the model relied on were inaccurate, incomplete or flawed (including if a bad actor “poisons” the AI Technology with bad inputs or logic), or if the logic of the AI Technology is flawed (a so-called “hallucination”), all or any of which could cause the performance of our business, as well as our reputation, to suffer or incur liability under contractual breach allegations or civil claims. We use AI Technologies’ outputs in the ordinary course of business and may use such outputs to make certain decisions. Due to these potential inaccuracies or flaws, the outputs could be biased and could lead us to make decisions that could bias certain individuals (or classes of individuals) and adversely impact their rights or employment.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business could be adversely affected by the effects of health pandemics or epidemics, which could cause significant disruptions in our operations and those of our current or future third-party manufacturers, CROs, and other third parties upon whom we 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pandemics or epidemics have in the past and could again in the future result in quarantines, stay-at-home orders, remote work policies or other similar events that may disrupt businesses, delay our research and development programs and timelines, negatively impact productivity and increase risks associated with cybersecurity, the future magnitude of which will depend, in part, on the length and severity of the restrictions and other limitations. More specifically, these types of events may negatively impact personnel at third-party manufacturing facilities or the availability or cost of materials, which could disrupt our supply chain. Moreover, our clinical trials may be negatively affected. Clinical site initiation and patient enrollment may be delayed due to prioritization of hospital resources. Some patients may not be able or willing to comply with trial protocols if quarantines impede patient movement or interrupt healthcare services. Our ability to recruit and retain patients, principal investigators and site staff (who as healthcare providers may have heightened exposure) may be hindered, which would adversely affect our trial operations. Disruptions or restrictions on our ability to travel to monitor data from our trials, or to conduct trials, or the ability of patients enrolled in our trials or staff at trial sites to travel, as well as temporary closures of our trial partners and third-party manufacturers’ facilities, would negatively impact our trial activities. In addition, we rely on independent clinical investigators, CROs and other third-party service providers to assist us in managing, monitoring and otherwise carrying out certain of our preclinical studies and clinical trials, including the collection of data from our trials, and the effects of health pandemics or epidemics may affect their ability to devote sufficient time and resources to our programs or to travel to sites to perform work for us. Similarly, our trials could be delayed and/or disrupted. As a result, the expected timeline for data readouts, including incompleteness in data collection and analysis and other related activities, and certain regulatory filings may be negatively impacted, which would adversely affect our ability to obtain regulatory approval for and to commercialize our product candidates, if approved, increase our operating expenses, and adversely affect our business, financial condition, results of operations and prospects. In addition, impact on the operations of the FDA or comparable foreign regulatory authorities could negatively affect our planned trials and approval processes. Finally, economic conditions and business activity may be negatively impacted and may not recover as quickly as anticipated.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business could be affected by litigation, government investigations and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contract,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proceedings, government investigations and enforcement actions can be expensive and time-consuming. An adverse outcome resulting from any legal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future growth may depend, in part, on our ability to operate in foreign markets, where we would be subject to additional regulatory burdens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growth may depend, in part, on our ability to develop and commercialize our product candidates in foreign markets, for which we may rely on collaboration with third parties. We are not permitted to market or promote our product candidates before we receive regulatory approval from the applicable regulatory authority in that foreign market and may never receive such regulatory approval for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identified a material weakness in our internal control over financial reporting. If we fail to remediate this material weakness, or if we identify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preparation of our financial statements for the years ended December 31, 2024 and 2025, we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would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design and maintain effective controls related to the period-end financial reporting process to ensure adequate segregation of duties, including controls related to account reconciliations and journal entries. Specifically, certain personnel have incompatible duties including the ability to (i) create and post manual journal entries without an independent review and (ii) prepare and review account reconciliations. The material weakness did not result in a misstatement to our financial statements. However, this material weakness could result in a misstatement of substantially all of our accounts or disclosures that would result in a material misstatement of our annual or interim financial statements that would not be prevented or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remediate the material weakness, we have designed and started to implement control activities in response to the risks posed as a result of the lack of segregation of duties in the period-end financial reporting process, including control activities related to journal entries and account reconciliations, and control activities related to journal entries in the information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 The measures we have taken to date, and are continuing to design and implement, may not be sufficient to remediate the material weakness we have identified or avoid potential future material weaknesses. If the steps we take do not correct this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remediate the existing material weakness or identify new material weaknesses in our internal control over financial reporting, if we are unable to comply with the disclosure and attestation requirements of Section 404 of the Sarbanes-Oxley Act in a timely manner, we may not be able to accurately or timely report our financial condition or results of operations, which may adversely affect investor confidence in us and the market price of our common stock could be negatively affected. As a result, we could also become subject to investigations by Nasdaq,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are unable to obtain, maintain and protect sufficient patent and other intellectual property rights for our product candidates and technology, or if the scope of patent and other intellectual property rights obtained is not sufficiently broad,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may in the future rely, upon a combination of patents, know-how, trademark, trade secrets and confidentiality agreements to protect the intellectual property related to our technologies and product candidates and to prevent third parties from eroding our competitive position in our market. We also rely on protection afforded by in-licensed intellectual property rights and proprietary technology of third parties. These legal measures afford only limited protection, and competitors or others may gain access to or use our intellectual property and proprietary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significant part on our ability and the ability of our licensors, or future licensors, licensees or collaborators to obtain, maintain, enforce and defend patents and other intellectual property rights with respect to the lead development candidate, or any other product candidates we may develop and to operate our business without infringing, misappropriating or otherwise violating the intellectual property rights of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patent applications may not issue or may issue with limited scope, and issued patents can be challenged or circumvented, reducing our ability to prevent competitors from developing similar therapies. Oppositions, post-grant reviews, inter partes reviews, or litigation can narrow, invalidate, or render patents unenforceable, increasing costs and impacting collaborations and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Prosecution, maintenance, or enforcement errors, or lack of alignment with licensors, may compromise protection or priority.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 provide no assurance that any of these current patent applications or future patent applications will result in issued patents or that any issued patents will provide us with any competitive advantage. Failure to obtain issued patents could have a material adverse effect on our ability to develop and commercialize our lead development candidate or any other product candidates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other parties may successfully challenge, invalidate or circumvent our issued patents so that our patent rights do not create an effective competitive barrier or revenue source.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U.S. provisional patent application is not eligible to become an issued patent until, among other things, we file a nonprovisional patent application within 12 months of filing of the provisional patent application.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our licensors are not fully cooperative or disagree with us as to the prosecution, maintenance or enforcement of any patent rights, such patent rights could be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there are material defects in the form, preparation, prosecution, or enforcement of our or our licensors’ patents or patent applications, such patents may be invalid and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owned and in-licensed patent applications may be subject to third-party pre-issuance submissions of prior art to the U.S. Patent and Trademark Office (USPTO), and our owned or in-licensed patents may be subject to opposition, derivation, revocation, reexamination, </w:t>
      </w:r>
      <w:r>
        <w:rPr>
          <w:rFonts w:ascii="Times New Roman" w:hAnsi="Times New Roman"/>
          <w:i/>
          <w:color w:val="000000"/>
          <w:sz w:val="20"/>
        </w:rPr>
        <w:t xml:space="preserve">inter partes </w:t>
      </w:r>
      <w:r>
        <w:rPr>
          <w:rFonts w:ascii="Times New Roman" w:hAnsi="Times New Roman"/>
          <w:color w:val="000000"/>
          <w:sz w:val="20"/>
        </w:rPr>
        <w:t>review, post-grant review or interference proceedings challenging our patent rights or the patent rights of others, or other proceedings in the USPTO or applicable foreign offices that challenge priority of invention or other features of patentability.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adverse determination in any such submission, proceeding or litigation could result in loss of exclusivity or freedom to operate, patent claims being narrowed, invalidated or held unenforceable, in whole or in part, limit the scope or duration of the patent protection of our lead development candidate or any other product candidates, all of which could limit our ability to stop others from using or commercializing similar or identical product candidates or technology to compete directly with us, without payment to us, or result in our inability to manufacture or commercialize product candidates or approved products (if any) without infringing third-party patent rights. In addition, if the breadth or strength of protection provided by our patents and patent applications is threatened, regardless of the outcome, it could dissuade companies from collaborating with us to license, develop or commercialize our lead development candidate or any other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certain that the USPTO and courts in the United States or the patent offices and courts in foreign countries will consider the claims in our current or future patents and applications covering our lead development candidate and any other product candidates as patentable. In addition, we cannot be certain that the claims of such patents and patent applications, if granted, will be sufficiently broad to effectively prevent competitors from working around our claimed inventions by developing alternative products and thereby competing with us without infringing our patent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Method-of-use patents protect the use of a product for the specified method or indication. In the absence of separate composition of matter protection,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competitor products off-label. Although off-label prescriptions may infringe or contribute to the infringement of method-of-use patents, the practice is common and such infringement is difficult to prevent, including through legal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cannot obtain or lose patent protection for our product candidates, it could have a material adverse impact on our business. Additionally, as a licensee, we rely on third parties to file and prosecute patent applications and maintain patents and otherwise protect the licensed intellectual property under some of our current or future license agreements. For example, under the license agreement with Lieber Institute, Lieber Institute is responsible for prosecuting and maintaining intellectual property protection in consultation with us. We have not had and do not have primary control over these activities for certain of our in-licensed patents or patent applications and other intellectual property rights. For example, we cannot be certain that such activities by Lieber Institute or other licensors will be conducted in compliance with applicable laws and regulations or will result in valid and enforceable patents and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limited control over the manner in which Lieber Institute or our other licensors may initiate an infringement proceeding against a third-party infringer of such intellectual property rights, or defend certain intellectual property that may be licensed to us. It is possible that Lieber Institute or our other licensors’ infringement proceeding or defense activities may be less vigorous than if we conduct them ourselves. We cannot be certain that such activities by third parties have been or will be conducted in compliance with applicable laws and regulations or will result in valid and enforceable patents or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licensor or any of our future licensors or future collaborators fail to appropriately prosecute and maintain patent protection for patents covering our product candidates, our ability to develop and commercialize our product candidates may be adversely affected and we may not be able to prevent competitors from making, using and selling competing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even where we have the right to control prosecution of patent applications we have acquired or licensed from third parties, we may still be adversely affected or prejudiced by actions or inactions of our licensors and their counsel that took place prior to our assuming control over patent prosecution. The patent prosecution process is expensive and time-consuming. We and our licensors, and any future licensors, licensees or collaborators, may not be able to prepare, file, prosecute, maintain, enforce or license all necessary or desirable patent applications or maintain and enforce patents that may issue based on such patent applications at a reasonable cost or in a timely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also possible that we or our licensor or any of our future licensors or future collaborators will fail to identify patentable aspects of our research and development output in time to obtain patent protection or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or other third party’s patent application may pose obstacles to our ability to obtain patent protection or limit the scope of the patent protection we may obtain.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enter into non-disclosure and confidentiality agreements with parties who have access to confidential or patentable aspects of our research and development output, such as our employees, collaborators, CROs, CDMOs,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the initial filing date, or in some cases not at all. Therefore, we cannot be certain that we or our licensor or any of our future licensors were the first to make the inventions claimed in our owned or any future licensed patents or pending patent applications, or were the first to file for patent protection of such inventions. If a third party can establish that we or our current or future licensors were not the first to make or the first to file for patent protection of such inventions, such patent applications may not issue as patents and even if issued, may be challenged and invalidated or rendered unenforceable. As a result, the issuance, inventorship, scope, validity, enforceability and commercial value of our patent rights are highly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technology acquired or licensed from various third parties, including our licensor, may be subject to retained rights. Our licensor often retains certain rights under their agreement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difficult to monitor whether our licensor limits their use of the technology to these uses, and we could incur substantial expenses to enforce our rights to its licensed technology in the event of misuse by the licensor.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uncertain, involves complex legal and factual questions and is the subject of much litigation, resulting in court decisions, including U.S. Supreme Court decisions, which have increased uncertainties as to the ability to enforce patent rights in the future. As a result, the issuance, scope, validity, enforceability and commercial value of our and our current or future licensors’ patent rights are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and our licensor’s pending and future patent applications may not result in patents being issued that protect our technology or product candidates, in whole or in part, or which effectively exclude others from commercializing competitive technologies and product candidates. The patent examination process may require us or our current or future licensors to narrow the scope of the claims of our pending and future patent applications, and therefore, even if such patent applications issue as patents, they may not issue in a form that will provide us with any meaningful protection, prevent competitors or other third parties from competing with us or otherwise provide us with any competitive 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and our licensor’s patent applications cannot be enforced against third parties practicing the technology claimed in pending applications unless and until a patent issues from such applications, and then only to the extent the issued claims cover such technology. Any patents that we hold or in-license, or may in-license in the future, may be challenged, narrowed, circumvented or invalidated by third parties. Consequently, we do not know whether our lead development candidate or any other product candidates will be protectable or remain protected by valid and enforceable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or other third parties may be able to circumvent our patents by developing similar or alternative technologies or products in a non-infringing manner. Any of the foregoing could impair our competitive position and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In addition, we may not develop additional proprietary technologies that are patentable. Any failure to obtain or maintain patent protection with respect to our product candidates or their uses could impair our competitive position and harm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rely on certain in-licensed patents and other intellectual property rights in connection with our development of our product candidates and may be required to acquire or license additional patents or other intellectual property rights to continue to develop and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in part, on patents, know-how and other intellectual property licensed from others, including the Lieber Institute for Brain Development (Lieber Institute). We are party to a license agreement with Lieber Institute pursuant to which we are granted rights to intellectual property that are important to our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need to acquire or license intellectual property rights from additional third parties in the future in order to continue to develop or commercialize our product candidates. Our existing license agreement imposes, and we expect that any future license agreements pursuant to which we in-license intellectual property may impose, on us various development, regulatory or commercial diligence obligations, payment of milestones and royalties, and other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current and future licensors are unable to obtain, maintain, defend or enforce sufficient patent and other intellectual property rights, or if those rights are limited in scope, we may not be able to compete effectively or to develop, manufacture, or commercialize our product candidates.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Licenses and collaborations may include diligence, milestone, royalty, field-of-use, or territorial restrictions; failure to comply can lead to termination and loss of rights. Complex license terms and disputes (scope, sublicensing, ownership, payments) can impact our freedom to operate, timelines, and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any of the obligations under any such license agreement, including payment terms and diligence terms, or we are subject to bankruptcy-related proceedings, the licensor may have the right to terminate such agreement, in which case we may lose important intellectual property rights and we may not be able to develop, manufacture, market or sell our product candidates covered by the license or may face other penalties under such agreement or be subject to litigation for breach of such agreement. In addition, such a termination could result in the licensor reacquiring the intellectual property rights and subsequently enabling a competitor to access the technology. Any such occurrence could materially adversely affect the value of any of our product candidates. Termination of license agreements or reduction or elimination of our rights under them may result in us having to negotiate a new or reinstated agreement, which may not be available on equally favorable or commercially reasonable terms, if at all, which may mean we are unable to develop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Licenses to additional third-party proprietary technology or intellectual property rights that may be required for our technology and our product candidates may not be available in the future or may not be available on commercially reasonable terms. In that event, we may be required to expend significant time and resources to redesign our technology or the methods for manufacturing or to develop or license replacement technology, all of which may not be feasible on a technical or commercial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agreement under which we currently license, and any agreements under which we may license in the future, intellectual property or technology from third parties are complex, and certain provisions in such agreements may be susceptible to multiple interpretations. Accordingly, material disputes may arise between us and our licensors, regarding intellectual property subject to such license agreement, including those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if any,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practice of any rights reserved by our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 licensor had the right to grant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product candidates,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third parties are entitled to compensation or equitable relief, such as an injunction, for our use of the intellectual property without their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its right to sublicense patent and other rights to third parties under license arrangements or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are complying with our diligence obligations with respect to the use of the licensed technology in relation to our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the prosecution of the licensed patents and our licensors’ overall patent enforcement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allocation of ownership of inventions and know-how resulting from the creation or use of intellectual property by our licensors and by us and our partners, including jointly developed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of royalties, milestones or other payments due under the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financial or other benefits it might otherwise receive under the relevant agreement. If material disputes over intellectual property that we have licensed prevent or impair our ability to maintain licensing arrangements on commercially acceptable terms or are insufficient to provide us the necessary rights to use the licensed intellectual property, we may be unable to successfully develop and commercialize our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despite our efforts, our current or future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Any material disputes with licensors or any termination of the licenses on which we depend would have a material adverse effect on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the right to control the preparation, filing, prosecution and enforcement of patent applications, or to maintain the patents, covering our product candidates that we license from third parties. In addition, our future licensors may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patent protection we obtain for our product candidates and technologies may be challenged in court or before administrative bodies in the United States or abroad and rendered invalid 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challenges, including oppositions, post-grant reviews, inter partes reviews, derivations, and litigation, can narrow, invalidate, or render our patents unenforceable, reducing exclusivity and enabling competitors to commercialize similar technologies. Adverse outcomes may limit our ability to prevent competition, shorten patent duration, or require costly and time-consuming legal proceedings.</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Even if our owned, co-owned, or in-licensed patent applications issue as patents, the issuance of any such patents is not conclusive as to their inventorship, scope, validity or enforceability, and such patents or patents we license from third parties, may be challenged, invalidated, narrowed or held to be unenforceable, including in the courts or patent offices in the United States or foreign jurisdictions, or circumvented.</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We or our licensor may be subject to a third-party pre-issuance submission of prior art to the USPTO or equivalent foreign bodies, or become involved in opposition, derivation, revocation, re-examination, post-grant and inter partes review or interference proceedings challenging our or our licensors’ patent rights or the patent rights of others.</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An adverse determination in any such submission, proceeding or litigation could reduce the scope of, or invalidate, our or our licensors’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or derivation proceedings declared by the USPTO to determine priority or ownership of invention or in post-grant challenge proceedings, such as oppositions in a foreign patent office, that challenge priority of invention or other features of patentability. Such proceedings and any other patent challenges may result in loss of patent rights, loss of exclusivity, loss of priority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costs and require significant time from our scientists and management, even if the eventual outcome is favorable to us. Moreover, there could be public announcements of the results of hearings, motions or other developments related to any of the foregoing proceedings. If securities analysts or investors perceive those results to be negative, it could cause the price of shares of our common stock to decline. Any of the foregoing could harm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development, manufacturing, and other services requires us to share trade secrets and confidential information, increasing the risk of misappropriation, inadvertent disclosure, or incorporation into others’ technology. While we use confidentiality and related agreements, these may not provide adequate protection or remedies, and monitoring compliance is challenging. If competitors lawfully obtain or independently develop our trade secrets, or if unauthorized disclosure occurs, our competitive position could be impaired.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these contractual agreements with third parties, sharing trade secrets and other confidential information increases the risk that such trade secrets become known by our competitors, are intentionally or inadvertently incorporated into the technology of others or are disclosed or used in violation of these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that our proprietary position is based, in part, on our know-how and trade secrets and despite our efforts to protect our trade secrets, a competitor’s discovery of our trade secrets and confidential information or other unauthorized use or disclosure would impair our competitive position and may harm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may become involved in lawsuits to protect or enforce our patents, the patents of our licensors or other intellectual property, which could be expensive, time-consuming and unsuccessful, and issued patents covering our technology and product candidates could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litigation can be costly and time-consuming; adverse outcomes (invalidity, unenforceability, narrow claim construction) can limit our ability to prevent competition and harm our business. Litigation may also result in disclosure of confidential information and distract management, and enforcement can be especially challenging in some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and other third parties may infringe, misappropriate or otherwise violate our owned, co-owned and licensed patents, trademark or other intellectual property. In addition, our owned, co-owned and licensed patents may become involved in inventorship or priority disputes. Our pending patent applications cannot be enforced against third parties practicing the technology claimed in such applications unless and until a patent is issued from such applications. To counter infringement, misappropriation or other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or both.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 patent infringement proceeding, a court may decide that an owned, co-owned or licensed patent of ours is invalid or unenforceable, in whole or in part, construe the patent’s claims narrowly or refuse to stop the other party from using the technology at issue on the grounds that our owned, co-owned and licensed patents do not cover the technology, or decide that the other party’s use of our technology at issue falls under the safe harbor to patent infringement under 35 U.S.C. §271(e). An adverse result in any litigation or proceeding could put one or more of our owned, co-owned or licensed patents at risk of being invalidated, held unenforceable or interpreted narrowly. We may find it impractical or undesirable to enforce our intellectual property against some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 eligible subject matter. Grounds for an unenforceability assertion could be an allegation that someone connected with prosecution of the patent withheld relevant information from the USPTO or made a misleading statement during prosecution.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following legal assertions of invalidity and unenforceability is unpredictable. With respect to the validity question, for example, we cannot be certain that there is no invalidating prior art of which we, our current or future licensors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or declared by the USPTO may be necessary to determine the ownership or priority of inventions with respect to our patents or patent applications. An unfavorable outcome could require us to cease using the related technology or to attempt to license rights to it from the prevailing party. Such licenses may not be available on commercially reasonable terms, or at all, or may be non-exclusive, allowing our competitors to gain access to the same technology.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and maintain such licenses, we may need to cease the development, manufacture and commercialization of one or more of the product candidates we may develop. In addition, if we, our existing licensors or any future licensors are unsuccessful in any inventorship disputes to which we or they are subject, we may lose valuable intellectual property rights, such as exclusive ownership of, or the exclusive right to use, our owned, in-licensed or any future in-licensed patents. The loss of exclusivity or the narrowing of such patent claims could limit our ability to stop others from using or commercializing similar or identical technology and products. Any of the foregoing could harm our business. Even if we are successful in any of the foregoing disputes, it could result in substantial costs and be a distraction to management and other employees. Furthermore, because of the substantial amount of discovery required in connection with intellectual property litigation, there is a risk that some of our confidential information could be compromised by disclosure during this type of litigation or proceeding.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Most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initiate anticipated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protections for proprietary intellectual property vary in jurisdictions throughout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enforcement of intellectual property rights can be difficult and costly, and some jurisdictions provide weaker protection than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may use our technology in countries where we lack protection or where enforcement is limited and may export infringing products into protected markets. Efforts to enforce rights abroad can be expensive, time-consuming, and may not yield meaningful remedies, limiting our ability to secure a commercial advantage. Filing, prosecuting, maintaining, defending and enforcing patents and other intellectual property rights on our lead development candidate or any other product candidates in all countries throughout the world would be prohibitively expensive, and our intellectual property rights in some countries outside the United States can be less extensive than those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Prosecution of foreign patent applications is often a longer process, and patents may grant at a later date, and with a shorter term, than in the United States and the requirements for patentability differ in certain jurisdictions and countries. In addition, the laws of some foreign countries do not protect intellectual property rights to the same extent as federal and state laws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Consequently, 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may use our technologies in jurisdictions where we have not obtained patent protection or other intellectual property rights to develop their own products and may export otherwise infringing, misappropriating or violating products to territories where we have patent or other intellectual property protection, but enforcement rights are not as strong as those in the United States. These products may compete with our lead development candidate or any other product candidates, and our patents or other intellectual property rights may not be effective or sufficient to prevent them from competing. Furthermore, some jurisdictions, such as Europe, Japan and China, may have a heightened standard for patentability than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some countries do not favor the enforcement of patents and other intellectual property rights, which could make it difficult for us to stop the infringement, misappropriation or other violation of our intellectual property rights generally.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harm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may not identify relevant third-party patents or may incorrectly interpret the relevance, scope or expiration of a third-party patent which might adversely affect our ability to develop and market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lead development candidate or any other product candidates in any jurisdiction. For example, freedom-to-operate analyses may miss relevant third-party rights or misinterpret scope or expiration, leading to infringement risk, redesigns, licensing costs, or delays. If we fail to identify or correctly interpret relevant patents, we may face costly litigation, delays, or be forced to obtain licenses on unfavorable terms, which could adversely affect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applications in the United States and elsewhere are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Therefore, patent applications covering our lead development candidate or any other product candidates could have been filed by third parties without our knowledge. Additionally, pending patent applications that have been published can, subject to certain limitations, be later amended in a manner that could cover our lead development candidate or any other product candidates or their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ability to identify all relevant third-party patents is limited by the imperfection of patent searches and the evolving nature of the patent landscape. Our determination of the expiration date of any patent in the United States or abroad that we consider relevant may be incorrect.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failure to identify and correctly interpret relevant patents may negatively impact our ability to develop and market such product candidates. If we fail to identify and correctly interpret relevant patents or if we are unable to obtain licenses to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harm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 we fail to comply with our obligations in the agreement under which we license intellectual property rights from our licensor, otherwise experience disruption to our business relationships with our licensor, or we are unable to obtain licenses from other third parties on commercially reasonable terms or fail to comply with our obligations under such agreements, we could lose license rights that are important to our business and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a license agreement with Lieber Institute under which we are granted rights to intellectual property that are important to our business, and we may enter into additional license agreements in the future for our lead development candidate or any other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existing license agreement imposes on us, and we expect that any future license agreements where we in-license intellectual property will impose on us, various development, regulatory and commercial diligence obligations, payment of milestones and royalties and other obligations and require us to meet development and/or regulatory timelines in order to maintain the licenses. If we fail to comply with our obligations under these agreements, or we are subject to bankruptcy-related proceedings, our licensors may have the right to terminate our licenses, or we may be subject to litigation for breach of these agreements, in which case, we would not be able to market products covered by the licenses. Additionally, non-compliance with license terms (e.g., payment, diligence, reporting, or other obligations) can lead to termination or re-purchase of assets, loss of rights or restrictions that delay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licensed rights may require renegotiation on less favorable terms, if at all, or may enable competitors to access the technology, materially harming our business. We may need to obtain additional licenses from third parties to advance our research, develop or commercialize our lead development candidate or any other product candidates, and we cannot provide any assurances that third-party patents do not exist that might be enforced against our lead development candidate or such other product candidates in the absence of such a license.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our lead development candidate or any other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or payment obligations,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or otherwise violate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rights and other rights to third parties under our license arrangements or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with respect to the use of the licensed technology in relation to our development and commercialization of our product candidates,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licenses;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our affiliates and sublicensees and by us and our partners and sublicensees.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not be able to successfully develop and commercialize our product candidates, which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our patents and patent applications in the future may be co-owned with third parties. If we are unable to obtain an exclusive license to any such co-owners’ interest in such patents or patent applications, such co-owners may be able to license their rights to other third parties, including our competitors, who could market competing products and technology. In addition, we may need the cooperation of any such co-owners to enforce such patents against third parties, and such cooperation may not be provided to 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Patent terms may be inadequate to protect our competitive position on our lead development candidate or any other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Even with possible extensions, patent protection may expire before or shortly after commercialization, enabling earlier competition and potentially reducing the amount of revenue we are able to generate from sale of any of our product candidates that receive approval. If we do not have sufficient patent life to protect our product candidates, our business and competitive position may be adversely affected.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lead development candidate or any other product candidates are obtained, once the patent life has expired for a product candidate, we may be open to competition from competitive products, including generics.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product candidates might expire before or shortly after such product candidates are commercialized. As a result, our owned, co-owned and licensed patent portfolio may not provide us with sufficient rights to exclude others from commercializing product candidates similar or identical to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conditions of any FDA regulatory approval of lead development candidate, or any other product candidates, one or more of our U.S. owned, co-owned or licensed patents may be eligible for limited patent term extension under the Drug Price Competition and Patent Term Restoration Act of 1984, referred to as the Hatch-Waxman Amendments, and one or more of our foreign owned, co-owned or licensed patents may be eligible for patent term extension under similar legislation, for example, in the EU. In the United States, the Hatch-Waxman Amendments permit a patent term extension of up to five years for a patent covering an approved product as compensation for effective patent term lost during the FDA regulatory review process. The length of the patent term extension is calculated based on the length of time it takes for regulatory review. Similar patent term restoration provisions to compensate for commercialization delay caused by regulatory review are also available in certain foreign jurisdictions, such as the EU Regulation (EC) No 469/2009 concerning the Supplementary Protection Certificate for medicinal products. However, there are no assurances that the FDA or any comparable foreign regulatory authority or national patent office will grant such extensions, in whole or in part. For example, we may not receive an extension if we fail to exercise due diligence during the testing phase or regulatory review process, fail to apply within applicable deadlines, fail to apply prior to expiration of relevant patents or otherwise fail to satisfy applicable requirements. In addition, to the extent we wish to pursue patent term extension based on a patent that we in-license from a third party, we would need the cooperation of that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length of the extension could be less than we request. Only one patent per approved product can be extended, the extension cannot extend the total patent term beyond 14 years from the date of product approval, and only those claims covering the approved drug, a method for using it or a method for manufacturing it may be extended. In addition, a patent term extension is available only for the first approved use of the drug, and thus, no extension is available if a product is approved for a subsequent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this occurs, our competitors may take advantage of our investment in development and trials by referencing our clinical and preclinical data and launch their product earlier than might otherwise be the case, and our competitive position and business could be harmed.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patent law or their interpretations could diminish the value of our patents in general, thereby impairing our ability to protect our intellectual property for our lead development candidate, or any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heavily dependent on intellectual property, particularly patents. Obtaining, maintaining and enforcing patents in the pharmaceutical industry is inherently uncertain, due in part to ongoing changes in the patent laws. Legal and policy changes can alter patentability, validity standards, and challenge mechanisms, affecting our ability to obtain, maintain, and enforce intellectual property protections. Court decisions, legislative reforms, and evolving international standards may narrow patent scope, increase uncertainty, and raise costs for intellectual property prosecution, enforcement, and defense. Depending on decisions by Congress, the federal courts, and the USPTO and equivalent institutions in other jurisdictions, the laws and regulations governing patents, and interpretation thereof, could change in unpredictable ways that could weaken our ability to obtain new patents or to enforce existing or future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either narrowing the scope of patent protection available in certain circumstances or weakening the rights of patent owners in certain situations.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Therefore, there is increased uncertainty with regard to our ability to obtain patents in the future, as well as uncertainty with respect to the value of patents once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 patent reform legislation could increase the uncertainties and costs surrounding the prosecution of our patent applications and the enforcement or defense of our issued and licensed patents. Assuming that other requirements for patentability are met, prior to March 2013, in the United States, the first to invent the claimed invention was entitled to the patent, while most jurisdictions outside the United States, the first to file a patent application was entitled to the patent.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March 2013, under the Leahy-Smith America Invents Act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Consequently, if a third party files a patent application in the USPTO before we or our current or future licensors file an application covering the same invention, the third party could therefore be awarded a patent covering an invention of ours or of our licensors even if we or our licensors had made the invention before it was made by such third party. Since patent applications in the United States and most other countries are confidential for a period of time after filing or until issuance, we cannot be certain that we or our current or future licensors were the first to either (i) file any patent application related to our product candidates and other proprietary technologies we may develop or (ii) invent any of the inventions claimed in our owned or in-licensed patents or patent applications. Even if we have a valid and enforceable patent, we may not be able to exclude others from practicing the claimed invention if the other party can show that they used the invention in commerce before our filing date or if the other party benefits from a compulsory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Leahy-Smith Act also includes a number of significant changes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USPTO-administered post-grant proceedings, including post-grant review, inter partes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changes in patent law and regulations in other countries or jurisdictions or changes in governmental bodies that enforce them or changes in how the relevant governmental authority enforces patent laws or regulations may weaken our ability to obtain new patents or to enforce patents that we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(the UPC) for litigation involving such patents. As the UPC is a relatively new court system, there is uncertainty regarding litigation at the UPC.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It is uncertain how the UPC will impact granted European patents in the pharmaceutical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recent reforms and changes at U.S. government agencies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Leahy-Smith Act and other similar changes in patent law and regulations in other countries or jurisdictions and their implementation could increase the uncertainties and costs surrounding the prosecution of our patent applications and the enforcement or defense of our issued or licensed patents, all of which could harm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if we fail to comply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any patents and patent applications are required to be paid to the USPTO and foreign patent agencies in several stages over the lifetime of a patent. In certain circumstances, we may rely on our current and future licensors to pay these fees. The USPTO and various foreign patent agencies also require compliance with a number of procedural, documentary, fee payment and other similar requirements during the patent application and prosecution process. In addition,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Administrative errors or missed deadlines (by us or licensors) can lead to abandonment or loss of rights. Failure to pay fees, respond to official actions, or submit required documents can result in loss of patent protection in relevant jurisdictions. If we or our licensors, or any future licensors or collaborators, fail to maintain the patents and patent applications covering our lead development candidate, or any other product candidates, our competitors might be able to enter the market with similar or identical products or technology, which would harm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Third-party claims of intellectual property infringement, misappropriation, or other violations against us or our current or future licensors could be expensive and time consuming and may prevent or delay the development and commercialization of our development candidate, or any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upon our ability and the ability of any of our collaborators to develop, manufacture, market and sell our lead development candidate, or any other product candidates, and use our proprietary technologies without infringing, misappropriating or otherwise violating the intellectual property and other proprietary rights of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considerable intellectual property litigation in the biotechnology and pharmaceutical industries. As the biotechnology and pharmaceutical industries expand and more patents are issued, and as we gain greater visibility and market exposure as a public company, the risk increases that our therapeutic programs and commercializing activities may give rise to claims of infringement of the patent rights of others. We may become party to, or be threatened with, future adversarial proceedings or litigation regarding intellectual property rights with respect to our lead development candidate, or any other product candidates and technology, including re-examination, interference, post-grant review, inter partes review or derivation proceedings before the USPTO or an equivalent foreign body.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U.S. and foreign issued patents and pending patent applications owned by third parties exist in the fields in which we are developing our product candidates. In the event that any of these patents were asserted against us, we believe that we would have defenses against any such action, including that such patents are not valid or that we would be able to replace such technology with alternative, non-infringing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if any such patents were to be asserted against us and our defenses to such assertion were unsuccessful and such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product candidates that were ultimately held to infringe such patents. Any potential future legal proceedings relating to these patents could cause us to incur significant expenses and could distract our technical and management personnel from their normal responsibilities. If we are unsuccessful in our challenges to these patents and become subject to litigation or are unable to obtain a license on commercially reasonable terms with respect to these patents, it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allege that we are infringing, misappropriating or otherwise violating their intellectual property rights. Defending such claims, with or without merit, is unpredictable and can be costly, time-consuming, and distracting. In addition, there could be public announcements of the results of hearings, motions, or other interim proceedings or developments, and if securities analysis or investors perceive these results to be negative, it could have a substantial adverse effect on the market price of our common stock. If we are found to infringe, we may be required to obtain licenses (which may not be available on reasonable terms), pay damages, or cease development or commercialization of affected products.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required to indemnify collaborators or licensors, further increasing costs. Any of these outcomes could materially harm our business.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We may be subject to claims by third parties asserting that we, our employees, consultants or advisors have infringed upon, misappropriated or otherwise violated their intellectual property rights,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consultants, or advisors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 or consultant background intellectual property claims can lead to disputes, costs, delays, or loss of rights. We may face allegations that our personnel used or disclosed proprietary information from prior employers, or that we do not own inventions developed by our team. Litigation or disputes over intellectual property ownership can be costly, distract management, and may result in loss of rights or personnel. Litigation may be necessary to defend against these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in prosecuting or defending any such claims, in addition to paying monetary damages, we may lose valuable intellectual property rights or personnel. A loss of key personnel or their work product could hamper or prevent our ability to commercialize our technologies or product candidates. Even if we are successful in prosecuting or defending against such claims, litigation could result in substantial costs, delay development of our product candidates and be a distraction to management. Any of the foregoing events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 the future be subject to claims by former employees, consultants, or other third parties asserting an ownership right in our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Any of the foregoing could adversely affect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Intellectual property litigation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litigation can be expensive, time-consuming, and may divert management and technical personnel from core business activities. Even successful outcomes can result in significant costs and operational disruption. Public proceedings may also impact our reputation or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Uncertainties resulting from the initiation and continuation of patent litigation or other proceedings could compromise our ability to compete in the marketplace, including compromising our ability to raise the funds necessary to initiate anticipated clinical trials, continue our research programs, license necessary technology from third parties or enter into development collaborations that would help us commercialize our lead development candidate, or any other product candidates, if approved. Any of the foregoing events would harm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trade secrets and know-how to protect proprietary technology, especially where patent protection is unavailable or inappropriate. Trade secrets can be difficult to protect, and confidentiality agreements and security measures may be breached, and remedies may be inadequate. If our trade secrets are disclosed, misappropriated, or independently developed by competitors, our competitive position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common in the biotechnology industry, we engage the services of consultants to assist us in the development of our product candidates. Many of these consultants were previously employed at, or may have previously provided or may be currently providing consulting services to, other biotechnology companies including our competitors or potential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become subject to claims that we or our consultants inadvertently or otherwise used or disclosed trade secrets or other information proprietary to our consultants’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may not be able to protect and enforce our trademarks and trade names or build name recognition in our markets of interest, and we may encounter delays and additional expense if our preferred names are not available, thereby harming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rely on both registered and common law rights for our trademarks. We plan to apply to register these trademarks with the USPTO and may in the future seek to register additional trademarks in the United States and other countries. However, we have not yet sought registration for any of our marks internationally, and we have not yet obtained regulatory or trademark approvals for any drug names. The process of obtaining such approvals can be lengthy and uncertain, and our preferred names may not be available or approvable in particular jurisdictions or for particular uses.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Trademark protection may be limited or unavailable in some jurisdictions, and third parties may oppose, cancel, or infringe our marks. Failure to secure or enforce trademarks can diminish brand value, create confusion, and harm our competitive position. Moreover, any name we propose to use with our product candidates in the United States must be approved by the FDA, regardless of whether we have registered it, or applied to register it, as a trademark. Similar requirements exist in Europe.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does not infringe the existing rights of third parties, and is acceptable to the FDA. Furthermore, in many countries, owning and maintaining a trademark registration may not provide an adequate defense against a subsequent infringement claim asserted by the owner of a senior trademark. Building name recognition in our markets of interest may be challenging, and litigation or administrative proceedings to protect trademarks can be costly and uncertain. Additionally, if we are unable to use our preferred drug names in certain jurisdictions, we may face significant delays and expense in rebranding or developing alternative names, which could adversely affect our commercialization efforts and market position.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Intellectual property rights do not necessarily address all potential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Even robust intellectual property may not prevent all competition; alternative technologies, off-label use, safe-harbor R&amp;D, and missed filings can erode intellectual property 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Competitors may independently develop similar or alternative technologies, design around our patents, or benefit from aspects of our inventions that are not patentable or not protected. Intellectual property rights may not cover all threats, and the patents of others may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to any product candidates we may develop or utilize similar technology but that are not covered by the claims of the patents that we own, co-own or license now or own, co-own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licensors, might not have been the first to make the inventions covered by the issued patent or pending patent application that we own, co-own or license now or own, co-own or license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current or future licensors, might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owned, co-owned or licensed patent applications or those that we may own, co-own or license in the future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under FDA-related safe harbor patent infringement exemptions or in countries where we or our current or future licensors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identify potential patentable subject matter and may fail to file on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or other intellectual property rights of others may harm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application covering such intellectual property or disclose information resulting in a loss of protection for such trade secrets.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they could harm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rely on third parties to conduct our preclinical studies and clinical trials. If these third parties that we rely on to execute our preclinical studies or clinical trials do not successfully carry out their contractual duties, comply with applicable regulatory requirements or meet expected deadlines, we may not be able to obtain regulatory approval for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independently conduct our preclinical studies or clinical trials. We rely on medical institutions, contract laboratories and other third parties, such as CROs, to conduct or otherwise support our preclinical studies and clinical trials for our product candidates. We rely heavily on these parties for execution of our preclinical studies and clinical trials for our product candidates and control only certain aspects of their activities. There are a limited number of CROs with demonstrated expertise in acute and chronic pain clinical trial design and execution, and competition for these organizations’ services is intense. We have recently transitioned, or are in the process of transitioning, our CRO relationship and may face disruptions associated with such transitions, including delays in site activation, protocol implementation, and data collection. Because acute pain trials are typically conducted over shorter durations, with enrollment windows measured in weeks rather than years, any delay in site selection, patient enrollment, or CRO performance can have a disproportionate impact on our study timelines. We cannot assure that our CRO partners will perform to our expectations or that the CRO transition will not adversely affect the conduct of our planned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while we have and will have agreements governing the activities of our third-party contractors, we have limited influence over their actual performance. Nevertheless, we are responsible for ensuring that each of our preclinical studies and clinical trials is conducted in accordance with the applicable protocol and legal and regulatory requirements and scientific standards, and our reliance on CROs and other third parties will not relieve us of our regulatory responsibilities. For any violations of laws and regulations during the conduct of our preclinical studies and clinical trials, we could be subject to untitled letters, warning letters or enforcement action that may include civil penalties up to and including criminal prosecution.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and the third parties on which we rely for clinical trials are required to comply with regulations and requirements, including GLP and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and comparable foreign regulatory authorities for any drugs in clinical development. The FDA and comparable foreign regulatory authorities enforce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comparable foreign regulatory authorities will determine that any of our future clinical trials will comply with GCP. In addition, our clinical trials must be conducted with product candidates produced under cGMP regulations. Our failure or the failure of these third parties to comply with these regulations may require us to repeat clinical trials, which would delay the regulatory approval process and could also subject us to enforcement action. We also are required to register certain ongoing clinical trials and provide certain information, including information relating to the trial’s protocol, on a government-sponsored database, </w:t>
      </w:r>
      <w:r>
        <w:rPr>
          <w:rFonts w:ascii="Times New Roman" w:hAnsi="Times New Roman"/>
          <w:i/>
          <w:color w:val="000000"/>
          <w:sz w:val="20"/>
        </w:rPr>
        <w:t>www.clinicaltrials.gov</w:t>
      </w:r>
      <w:r>
        <w:rPr>
          <w:rFonts w:ascii="Times New Roman" w:hAnsi="Times New Roman"/>
          <w:color w:val="000000"/>
          <w:sz w:val="20"/>
        </w:rPr>
        <w:t>, within specific timeframes. Failure to do so can result in fines, adverse publicity and civil and criminal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design our clinical trials for our product candidates, we will rely on third parties to conduct our clinical trials. As a result, many important aspects of our clinical development, including clinical trial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Communicating with outside parties can also be challenging, potentially leading to mistakes, as well as difficulties in coordinating activities. Outside parties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regulatory compliance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undergo changes in priorities or become financially distressed;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relationships with other entities, some of which may be our competitors.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relationships with these third parties terminate, we may not be able to enter into arrangements with alternative third parties on commercially reasonable terms, or at all. Our CROs have the right to terminate their agreements with us in the event of an uncured material breach and under other specified circumstances.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establish partnerships in relation to our clinical trials, receiving advisory services and other support from third parties. Although we believe that these partnerships will enable us to accelerate the development of our product candidates and clinical trials,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facilities for drug manufacturing, storage, distribution, or quality testing and have no current plans to develop our own clinical or commercial-scale manufacturing capabilities. We currently rely, and expect to continue to rely, on third-party contract developers and manufacturers to manufacture bulk drug substances, drug products, raw materials and other components for our product candidates, as well as for commercial manufacture if our product candidates receive regulatory approval. Any change in our relationships with our third-party manufacturers or changes to contractual terms of our agreements with them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may expose us to different risks than if we were to manufacture the product candidates ourselves. There can be no assurance that our clinical development product supplies will not be limited, interrupted, terminated or will be of satisfactory quality or be available at acceptable prices. In addition, any replacement of our manufacturer could require significant effort and time because there may be a limited number of qualified replacements. Further, we do not have any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our product candidates or such quantities at an acceptable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our suppliers, we have a limited operating history and cannot assure you that we will not experience disruptions in our supply chain in the future as a result of such reliance or otherwise.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manufacturing process for our product candidates will be subject to the FDA’s review and, in the future, may be subject to comparable foreign regulatory authority review. We, our suppliers and our manufacturers must meet applicable manufacturing requirements and undergo rigorous facility and process validation tests required by regulatory authorities in order to comply with regulatory standards, such as cGMPs, and to ensure the quality and safety of our product candidates. Securing regulatory approval for our product candidates will also require the submission of detailed information about the product manufacturing process to, and inspection of manufacturing facilities by, the FDA and comparable foreign regulatory authorities. If our third-party manufacturers cannot successfully manufacture material that conforms to our specifications and the strict regulatory requirements of the FDA or comparable foreign regulatory authorities, they will not be able to secure and/or maintain regulatory approval for the use of their manufacturing facilities to produce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do not conduct the manufacturing process ourselves and are completely dependent on our third-party manufacturers for manufacturing our product candidates in compliance with cGMP and other applicable requirements. In the event that any of our manufacturers fails to comply with such requirements or to perform its obligations in relation to quality, timing, or otherwise, or if our projected manufacturing capacity or supply of materials becomes limited, interrupted or more costly than anticipated, we may be forced to enter into an agreement with another third party, which we may not be able to do timely or on reasonable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with the new manufacturer. The delays and costs associated with the verification of a new manufacturer could negatively affect our ability to develop our product candidates in a timely manner or within budget, or obtain regulatory approval for or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comparable foreign regulatory authorities, including for continued compliance with cGMP requirements, quality control, quality assurance and corresponding maintenance of records and documents. If we are unable to obtain or maintain third-party manufacturing for our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other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complete clinical trials of a product candidate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regulatory approvals, for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third-party manufacturing facilities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existing or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cease development or to recall batches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third-party manufacturer of our product candidates is unable to increase the scale of its production of our product candidates, and/or increase the product yield of its manufacturing, then our costs to manufacture our product candidates may increase and commercialization may be delayed.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entails additional risks such as limitations on supply availability resulting from capacity and scheduling constraints of third parties; the possible breach of manufacturing agreements by third parties because of factors beyond our control; the possible termination or non-renewal of the manufacturing agreements by the third party, at a time that is costly or inconvenient to us; failure to manufacture our product according to our schedule or at all; and the possible misappropriation of our proprietary information, including our trade secrets and know-how.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third-party manufacturers may experience difficulties due to resource constraints or as a result of labor disputes or unstable political environments. If any of our third-party manufacturers were to encounter any of these difficulties, our ability to provide our product candidates to participants in clinical trials, or to provide product for treatment of patients if approved, would be jeopardized. Any performance failure on the part of our existing or future manufacturers could delay clinical development or regulatory approval, and any related remedial measures may be costly or time-consuming to implement, which would have a material adverse impact on our financial position.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may form or seek collaborations or strategic alliances, enter into licensing arrangements or other business transactions in the future, and we may not realize the benefits of such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licensing arrangements and strategic transactions to acquire and advance new assets or product candidates in the future, including strategic partnerships, in-licensing of product candidates, strategic collaborations, joint ventures, restructurings, divestitures, acquisitions of companies, asset purchases, business combinations and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future transactions that we enter into may not be successful. In particular, the success of our collaboration arrangements will depend heavily on the efforts and activities of our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 the delay or termination of the research, development or commercialization of our future product candidates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 candidates that results from our collaborating with them, and in such cases, we would not have the exclusive right to develop or commercialize such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have conflicts with our future collaborators,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If any conflicts arise with any of our collaborators, such collaborator may act in a manner that is adverse to our best interests. Any such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 Collaborations may be terminated and, if terminated, may result in a need for additional capital to pursue further development or commercialization of the applicable product candidates. In addition,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adversely affect our business, financial condition, results of operations and prospects.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have vendors and service providers located outside of the United States that subject us to additional risks that are beyond our control and that could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have vendors and service providers located outside of the United States. As a result of our global supplier network, we are subject to risks associated with doing business abroad,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unrest, terrorism, labor disputes and economic instability resulting in the disruption of trade from foreign countries in which our product candidates are manufactured;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challenges and increased costs with enforcing and periodically auditing or reviewing our suppliers’ and manufacturers’ compliance with cGMPs or status acceptable to the FDA or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 including trademark protection,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operations due to global, regional or local public health crises or other emergencies or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or delays in shipments;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economic conditions in countries where our manufacturers or suppliers are located.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factors beyond our control could interrupt our vendor and service providers’ operations, influence the ability of these companies to render services and export our clinical supplies cost-effectively or at all, and inhibit their ability to procure certain materials.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manufacturing organizations (CMOs) may become subject to legislation, trade restrictions, sanctions, tariffs, and other regulatory requirements by the U.S. government, which could restrict or even prohibit our ability to work with such entities, thereby potentially disrupting the supply of material to us. For example, the United States has recently passed legislation, namely the BIOSECURE Act (BIOSECURE Act), to prohibit U.S. federal executive agencies from procuring or obtaining any biotechnology equipment or service produced or provided by a “biotechnology company of concern” or entering into or renewing a contract, loan, or grant with an entity that uses such biotechnology equipment or services. Specifically, on October 9, 2025, the U.S. Senate passed a revised version of the BIOSECURE Act as an amendment to the National Defense Authorization Act (NDAA) for fiscal year 2026. The final version of the NDAA containing this legislative language was passed by the Senate and House of Representatives and signed into law by President Trump on December 18, 2025. The BIOSECURE Act prohibits the U.S. government from procuring or obtaining biotechnology equipment or services produced or provided by a “biotechnology company of concern” (BCC); entering into, extending, or renewing government contracts with an entity that directly or indirectly (e.g., via a subcontractor)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Given the BIOSECURE Act, we may be restricted in our ability to work with certain Chinese biotechnology companies to the extent we would contract with, or otherwise receive funding from, the U.S. government. Such disruption could have adverse effects on the development of our product candidates. Furthermore, any U.S. executive action, legislative action or potential sanctions including the imposition of higher tariffs on imports into the United States and other governmental regulations affecting trade between the United States and China, and any retaliatory actions by China could materially impact our work or potential work in the future with Chinese biotechnology companies. U.S. executive agencies may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Such disruption could have adverse effects on the development of our product candidates. We are investigating alternative suppliers or manufacturers outside of China for materials and services for our product candidates. Without an alternative manufacturing plan, there is a risk that, if supplies are interrupted, or the quality of ingredients provided by such alternative sources is not to our specification, it would cause delays in our supply chain and increase the cost of manufacturing our drugs, which could materially harm our business.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currently rely on third parties to manufacture our product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Commercialization of Our Product Candidates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Competitive products may reduce or eliminate the commercial opportunity for our product candidates for our current or future indications. If our competitors develop technologies or product candidates more rapidly than we do, or their technologies are more effective or safer than ours, our ability to develop and successfully commercialize our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industry is characterized by rapid innovation and intense competition. While we believe that our clinical programs provide us with competitive advantages, we face competition from multiple companies that are similarly working to develop therapeutics targeting similar indications, as well as from academic institutions, governmental agencies, and public and private research institutions. Many of our potential competitors, either alone or with collaboration partners, have significantly greater financial resources than we do, as well as equal or greater experience in the discovery and development of product candidates, obtaining FDA and other regulatory approvals of products and the commercialization of those products. Accordingly, our potential competitors may be more successful than we are in achieving regulatory approvals and commercializing their products. We anticipate that we will face intense and increasing competition from existing, approved drugs, as well as new drugs entering the market and emerging technologies that become available.</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We expect our current and future product candidates to face immediate competition from existing treatments for musculoskeletal pain. These consist of over-the-counter analgesics for mild to moderate symptoms, while moderate to severe pain is treated through a combination of opioids, NSAIDs, long-acting local anesthetics (for postoperative pain), acetaminophen, and recently approved Journavx, Vertex Pharmaceuticals Incorporated’s selective Na</w:t>
      </w:r>
      <w:r>
        <w:rPr>
          <w:rFonts w:ascii="Times New Roman" w:hAnsi="Times New Roman"/>
          <w:color w:val="000000"/>
          <w:sz w:val="13"/>
        </w:rPr>
        <w:t>v</w:t>
      </w:r>
      <w:r>
        <w:rPr>
          <w:rFonts w:ascii="Times New Roman" w:hAnsi="Times New Roman"/>
          <w:color w:val="000000"/>
          <w:sz w:val="20"/>
        </w:rPr>
        <w:t>1.8 inhibitor. In moderate to severe pain, opioids have historically been heavily relied on due to their strong analgesic effect, which has set the standard reference for efficacy. Commonly used opioids include morphine, oxycodone (e.g. under brand names OxyContin, Percocet), hydrocodone bitartrate/acetaminophen (e.g. Vicodin) and tramadol (e.g. Ultram). In addition to opioids, NSAIDs are also used in mono- and multi-modal regimens to manage pain, including products such as ibuprofen (e.g. Motrin), naproxen, diclofenac (e.g. Zorvolex, Zipsor, Voltaren), celecoxib (e.g. Celebrex), and intravenous meloxicam (e.g. Anjeso).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are primarily focused on addressing the demand for non-opioid musculoskeletal pain alternatives, we may in the future pursue development of our portfolio in neuropathic pain. If we pursue neuropathic pain, we could compete directly with established generic adjunctive analgesic therapies, notably: anticonvulsants such as pregabalin (e.g. Lyrica) or gabapentin (e.g. Neurontin) for neuropathic pain and fibromyalgia; antidepressants, such as duloxetine (e.g. Cymbalta) and amitriptyline (e.g. Elavil), for conditions such as diabetic peripheral neuropathy, fibromyalgia, and chronic musculoskeletal pain.</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In addition to approved pain treatments, we are aware of several companies developing drug candidates for acute and chronic pain across multiple modalities. In Na</w:t>
      </w:r>
      <w:r>
        <w:rPr>
          <w:rFonts w:ascii="Times New Roman" w:hAnsi="Times New Roman"/>
          <w:color w:val="000000"/>
          <w:sz w:val="13"/>
        </w:rPr>
        <w:t>v</w:t>
      </w:r>
      <w:r>
        <w:rPr>
          <w:rFonts w:ascii="Times New Roman" w:hAnsi="Times New Roman"/>
          <w:color w:val="000000"/>
          <w:sz w:val="20"/>
        </w:rPr>
        <w:t>1.8 specifically, Vertex Pharmaceuticals Incorporated, AbbVie Inc., Eli Lilly and Company (through its acquisition of SiteOne Therapeutics, Inc. in May 2025), Grünenthal GmbH, and Merck Sharp &amp; Dohme LLC have the most notable and advanced drug candidates in various stages and pain indications. Beyond the Na</w:t>
      </w:r>
      <w:r>
        <w:rPr>
          <w:rFonts w:ascii="Times New Roman" w:hAnsi="Times New Roman"/>
          <w:color w:val="000000"/>
          <w:sz w:val="13"/>
        </w:rPr>
        <w:t>v</w:t>
      </w:r>
      <w:r>
        <w:rPr>
          <w:rFonts w:ascii="Times New Roman" w:hAnsi="Times New Roman"/>
          <w:color w:val="000000"/>
          <w:sz w:val="20"/>
        </w:rPr>
        <w:t>1.8 class, the competitive landscape is expanding into novel targets, including Na</w:t>
      </w:r>
      <w:r>
        <w:rPr>
          <w:rFonts w:ascii="Times New Roman" w:hAnsi="Times New Roman"/>
          <w:color w:val="000000"/>
          <w:sz w:val="13"/>
        </w:rPr>
        <w:t>v</w:t>
      </w:r>
      <w:r>
        <w:rPr>
          <w:rFonts w:ascii="Times New Roman" w:hAnsi="Times New Roman"/>
          <w:color w:val="000000"/>
          <w:sz w:val="20"/>
        </w:rPr>
        <w:t>1.7 inhibitors (e.g., Xenon Pharmaceuticals’ XEN1701) and Kv7 potassium channel activators (e.g., Biohaven’s BHV-7000 and Xenon Pharmaceuticals’ XEN1120).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standard of care for pain management may also evolve to favor multi-modal or combination therapeutic regimens that incorporate multiple agents with complementary mechanisms of action. We currently lack clinical data demonstrating the safety or efficacy of onzotrigine, LTG-321 and LTG-418 in combination with other pain therapies, and we have not established partnerships to pursue combination regimens. If the market moves toward combination approaches and we are unable to generate relevant combination data or enter into appropriate collaborations, our product candidates may be viewed as less competitive, and we may be required to conduct additional studies or seek additional partnerships before achieving meaningful commercial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approval for or commercializing drugs before we do, which would have an adverse impact on our business and results of operations. Smaller or early-stage companies may also prove to be significant competitors, particularly through collaborative arrangements with large, established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emerging therapies in adjacent therapeutic categories, including glucagon-like peptide-1 (GLP-1) receptor agonists used for weight management, may indirectly reduce demand for pain therapies. Clinical and real-world evidence suggests that weight loss can ameliorate certain pain conditions, including musculoskeletal and inflammatory pain. As GLP-1 therapies become more widely prescribed, the addressable patient population for certain pain indications may contract, and market expectations for pain drug revenues may be revised downward. We cannot predict the magnitude of this indirect competitive effect or the extent to which it may reduce the commercial opportunity for our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profitability and financial position will suffer if our product candidates receive regulatory approval but cannot compete effectively in the marketplace.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Even if our product candidates receive regulatory approval, they may fail to achieve the degree of market acceptance by physicians, patients and others in the medical community necessary for commercial success, in which case we may not generate significant revenues or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candidate for any indication. Even if our product candidates are approved by the appropriate regulatory authorities for marketing and sale, our product candidates may not gain acceptance among patients, patients’ families, advocacy groups, physicians, third-party payors and others in the medical community. If the product candidates for which we obtain regulatory approval do not gain an adequate level of market acceptance, we may not generate sufficient product revenue or become profitable. Further, the number of patients that our product candidates is designed to treat may be smaller than expected.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market acceptance of our product candidates, if approved and commercialized, will depend on a number of factors, some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cost-effectiveness of our product candidates, as well as the ease of administration, time burden and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efficacy and tolerability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our product candidates by patients and their families, the medical community and third-party payors vis-à-vis existing pain medications and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targeted indications and the reluctance of physicians to switch their patients’ current standard of 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our product is approved and the scope of efficacy/safety claims that we may make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product candidates to receive opioid-free labels;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 and the prevalence and severity of any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distribution and use restrictions imposed by the FDA as part of a mandatory REMS with respect to such product candidate or to which we agree under a voluntary risk management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coverage and reimbursement by third parties, such as insurance companies and other healthcare payors, and by government healthcare programs, including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all, or a portion of, out-of-pocket costs associated with our products in the absence of sufficient third-party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strength of our marketing and distribution of such product candidate, including our ability to overcome any pre-existing stigmas around pain medication and dependency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such product candidate,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our product candidates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about our product or favorable publicity about competitive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240" w:after="283"/>
        <w:jc w:val="left"/>
        <w:rPr>
          <w:rFonts w:ascii="Times New Roman" w:hAnsi="Times New Roman"/>
          <w:sz w:val="13"/>
        </w:rPr>
      </w:pPr>
      <w:r>
        <w:rPr>
          <w:rFonts w:ascii="Times New Roman" w:hAnsi="Times New Roman"/>
          <w:color w:val="000000"/>
          <w:sz w:val="20"/>
        </w:rPr>
        <w:t>Our efforts to educate the medical community and third-party payors about the benefits of our product candidates may require significant resources and may never be successful. Even if our product candidates, if approved, are safe and effective for their approved indications, physicians and patients (and their families, as applicable) may not immediately be receptive to such product candidates and may be slow to adopt them as an accepted treatment for the approved indications. For example, the commercial launch of Journavx (suzetrigine) as the first approved non-opioid Na</w:t>
      </w:r>
      <w:r>
        <w:rPr>
          <w:rFonts w:ascii="Times New Roman" w:hAnsi="Times New Roman"/>
          <w:color w:val="000000"/>
          <w:sz w:val="13"/>
        </w:rPr>
        <w:t>v</w:t>
      </w:r>
      <w:r>
        <w:rPr>
          <w:rFonts w:ascii="Times New Roman" w:hAnsi="Times New Roman"/>
          <w:color w:val="000000"/>
          <w:sz w:val="20"/>
        </w:rPr>
        <w:t>1.8 inhibitor for acute pain has established a pricing and reimbursement precedent for this class of drugs. Suzetrigine has been priced at approximately $31 per day, compared to inexpensive generic opioids, and reports indicate that certain third-party payors have denied or restricted coverage on the basis of cost and the availability of cheaper alternatives. These payor dynamics may create an unfavorable precedent for the entire class, including our product candidates, and may cause third-party payors and formulary decision-makers to perceive a ceiling on the clinical differentiation that non-opioid Na</w:t>
      </w:r>
      <w:r>
        <w:rPr>
          <w:rFonts w:ascii="Times New Roman" w:hAnsi="Times New Roman"/>
          <w:color w:val="000000"/>
          <w:sz w:val="13"/>
        </w:rPr>
        <w:t>v</w:t>
      </w:r>
      <w:r>
        <w:rPr>
          <w:rFonts w:ascii="Times New Roman" w:hAnsi="Times New Roman"/>
          <w:color w:val="000000"/>
          <w:sz w:val="20"/>
        </w:rPr>
        <w:t>1.8 inhibitors can demonstrate. As a result, we may be required to engage in prolonged advocacy, legislative, and policy efforts, potentially spanning multiple years, before achieving meaningful formulary placement or broad reimbursement coverage, and there can be no assurance that such efforts will be successful or timely. If our current or future product candidates are approved but do not achieve an adequate level of acceptance among physicians, patients and third-party payors, we may not generate meaningful revenue from our product candidates and may never become profitable.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internal sales, marketing or distribution capabilities, nor have we commercialized a product. If any of our product candidates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 candidates could limit our ability to market those products and decrease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any products we may successfully develop. Even if we obtain coverage for a given product by a third-party payor, the resulting reimbursement payment rates may not be adequate or may require co-payments that patients find unacceptably high. We cannot be sure that coverage and reimbursement in the United States or elsewhere will be available for any product that we may develop, and any reimbursement that may become available may be decreased or eliminated in the future.</w:t>
      </w:r>
    </w:p>
    <w:p>
      <w:pPr>
        <w:pStyle w:val="TextBody"/>
        <w:bidi w:val="0"/>
        <w:spacing w:before="240" w:after="283"/>
        <w:jc w:val="left"/>
        <w:rPr>
          <w:rFonts w:ascii="Times New Roman" w:hAnsi="Times New Roman"/>
          <w:sz w:val="20"/>
        </w:rPr>
      </w:pPr>
      <w:r>
        <w:rPr>
          <w:rFonts w:ascii="Times New Roman" w:hAnsi="Times New Roman"/>
          <w:color w:val="000000"/>
          <w:sz w:val="20"/>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 candidates as substitutable and only offer to reimburse patients for the less expensive product. These payors may deny or revoke the reimbursement status of a given product or establish prices for new or existing marketed products at levels that are too low to enable us to realize an appropriate return on our investment in product development. As a result, if reimbursement is not available or is available only at limited levels, we may not be able to successfully commercialize our products, if approved, and may not be able to obtain a satisfactory financial return on products that we may develop. See the risk factor above titled “</w:t>
      </w:r>
      <w:r>
        <w:rPr>
          <w:rFonts w:ascii="Times New Roman" w:hAnsi="Times New Roman"/>
          <w:i/>
          <w:color w:val="000000"/>
          <w:sz w:val="20"/>
        </w:rPr>
        <w:t xml:space="preserve">Even if our product candidates receive regulatory approval, they may fail to achieve the degree of market acceptance by physicians, patients and others in the medical community necessary for commercial success, in which case we may not generate significant revenues or become profitable” </w:t>
      </w:r>
      <w:r>
        <w:rPr>
          <w:rFonts w:ascii="Times New Roman" w:hAnsi="Times New Roman"/>
          <w:color w:val="000000"/>
          <w:sz w:val="20"/>
        </w:rPr>
        <w:t>for an example related to the commercial launch of suzetrigine.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Regulatory approvals, pricing and reimbursement for new drug products vary widely from country to country. In the United States, third-party payors, including private and governmental payors, such as the Medicare and Medicaid programs, play an important role in determining the extent to which new drugs will be covered. Some third-party payors may require prior authorization before covering new or innovative drug therapies and reimbursing healthcare providers who use such therapies. It is difficult to predict at this time what third-party payors will decide with respect to coverage and reimbursement for our products,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rules and regulations regarding reimbursement change frequently, in some cases at short notice, and we believe that changes in these rules and regulations are likely.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For example, the U.S. Department of Health and Human Services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We expect to experience pricing pressures in connection with the sale of our product candidates, if approved for marketing, due to the trend toward managed healthcare, the increasing influence of health maintenance organizations, and additional legislative changes. The downward pressure on healthcare costs in general, particularly prescription drugs and other treatments, has become very intense. As a result, increasingly high barriers are being erected to the entry of new products.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and marketing of a future approved product, is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applicable federal, state and foreign healthcare laws and regulations laws that may affect our ability to operate now or in the future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monetary penalties statute which imposes penalties against any person or entity who, among other things, is determined to have presented or caused to be presented a claim to, among others, a federal healthcare program that the person knows or should know is for a medical or other item or service that was not provided as claimed or is false or fraudulent;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laws, including the federal False Claims Act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w:t>
      </w:r>
      <w:r>
        <w:rPr>
          <w:rFonts w:ascii="Times New Roman" w:hAnsi="Times New Roman"/>
          <w:i/>
          <w:color w:val="000000"/>
          <w:sz w:val="20"/>
        </w:rPr>
        <w:t>e.g.</w:t>
      </w:r>
      <w:r>
        <w:rPr>
          <w:rFonts w:ascii="Times New Roman" w:hAnsi="Times New Roman"/>
          <w:color w:val="000000"/>
          <w:sz w:val="20"/>
        </w:rPr>
        <w:t>,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 care fraud statute under HIPAA without actual knowledge of the statute or specific intent to violate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its implementing regulations, which also imposes certain obligations, including mandatory contractual terms, with respect to safeguarding the privacy and security of individually identifiable health information of covered entities subject to the rule, including health plans, healthcare clearinghouses and certain healthcare providers and their business associates, independent contractors of a covered entity that perform certain services involving the use or disclosure of individually identifiable health information for or on their behalf, as well as their covered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distribution of pharmaceutical products is subject to additional requirements and regulations, including extensive record-keeping, licensing, storage and security requirements intended to prevent the unauthorized sale of pharmaceutical products. Distribution of prescription drug samples to licensed prescribers is also highly regulated within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which has led to a number of investigations, prosecutions, convictions, significant fines and penalties and settlements in the healthcare industry. Ensuring business arrangements comply with applicable healthcare laws, as well as responding to possible investigations by government authorities, can be time- and resource-consuming and may divert our management’s attention from the operation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results of operations and financial condition.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approved, they will be subject to extensive and ongoing regulatory requirements for manufacturing, labeling, packaging, distribution, storage, advertising, promotion, import, export,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similar requirements outside the United States and GCP requirements for any clinical trials that we conduct post-approval.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Manufacturers and manufacturers’ facilities are required to comply with extensive FDA and comparable foreign regulatory authority requirements, including ensuring that quality control and manufacturing procedures conform to cGMPs or similar regulations. As such, we and our contract manufacturers will be subject to continual review and periodic, unannounced inspections by the FDA and other regulatory authorities to assess compliance with cGMPs or similar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240" w:after="283"/>
        <w:jc w:val="left"/>
        <w:rPr>
          <w:rFonts w:ascii="Times New Roman" w:hAnsi="Times New Roman"/>
          <w:sz w:val="20"/>
        </w:rPr>
      </w:pPr>
      <w:r>
        <w:rPr>
          <w:rFonts w:ascii="Times New Roman" w:hAnsi="Times New Roman"/>
          <w:color w:val="000000"/>
          <w:sz w:val="20"/>
        </w:rPr>
        <w:t>Any regulatory approvals that we may receive for our product candidates will require the submission of reports to regulatory authorities and surveillance to monitor the safety and efficacy of the product candidate, and such approvals may be subject to significant limitations on the approved indicated uses for which the product may be marketed (</w:t>
      </w:r>
      <w:r>
        <w:rPr>
          <w:rFonts w:ascii="Times New Roman" w:hAnsi="Times New Roman"/>
          <w:i/>
          <w:color w:val="000000"/>
          <w:sz w:val="20"/>
        </w:rPr>
        <w:t>e.g.</w:t>
      </w:r>
      <w:r>
        <w:rPr>
          <w:rFonts w:ascii="Times New Roman" w:hAnsi="Times New Roman"/>
          <w:color w:val="000000"/>
          <w:sz w:val="20"/>
        </w:rPr>
        <w:t>, use restrictions for specified age groups, warnings, precautions or contraindications), and may include burdensome post-approval study or risk management requirements. For example, the FDA may require a REMS program as a condition of approval of our product candidates or similar risk management measures, which could entail requirements for long-term patient follow-up, a medication guide, physician training and communication plans or additional elements to ensure safe use, such as restricted distribution methods, patient registries and other risk minimization tools.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comparable foreign regulatory authorities may impose consent decrees or withdraw approval if compliance with regulatory requirements and standards is not maintained or if problems occur after the product reaches the market. Later discovery of previously unknown problems with our product candidates, such as adverse events of unanticipated severity or frequency, or problems with our third-party manufacturers or manufacturing processes, or failure to comply with regulatory requirements, may result in restrictions on that product, the manufacturing facility or us, including revisions to the approved labeling to add new safety information, contraindications or a “black box” warning, imposition of post-market studies or clinical trials to assess new safety risks, or imposition of distribution restrictions or other restrictions under a REMS.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our products, withdrawal of the product from the market or product recalls;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restitutions, disgorgement of profits or revenues, warning letters,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or comparable foreign regulatory authorities to approve pending applications or supplements to approved applications submitted by us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policies of the FDA and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our business, results of operations and financial condition could be adversely affected.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foreign regulatory authorities strictly regulate the marketing, labeling, advertising, and promotion of prescription drugs. These regulations include standards for direct-to-consumer advertising (in the United States only), industry-sponsored scientific and educational activities and promotional activities involving the internet, as well as restrictions on promoting approved drugs for unapproved uses or patient populations (known as “off-label promotion”). Products may be promoted only for the approved indications and in accordance with the provisions of the approved label. While physicians in the United States may choose, and are generally permitted, to prescribe drugs for off-label uses, manufacturers may not market or promote such uses. However, companies may share truthful and not misleading information that is not inconsistent with the labeling, and the FDA has recently published a draft guidance with recommendations for how drug manufacturers can share scientifically sound and clinically relevant information on unapproved uses with health care providers so long as such presentations are not promotional.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have promoted any off-label uses of our future approved products, or to have engaged in the promotion of an unapproved product candidate,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future approved products, we could become subject to significant liability, which would materially adversely affect our business, results of operations and financial condition.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Ongoing healthcare legislative and regulatory reform measures may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legislative and regulatory proposals to change the healthcare system in ways that could affect our ability to sell our products profitably. By way of example, in March 2010, the Patient Protection and Affordable Care Act, as amended by the Health Care and Education Reconciliation Act, (collectively, ACA), was signed into law, intended to broaden access to health insurance, reduce or constrain the growth of healthcare spending, enhance remedies against fraud and abuse, add transparency requirements for the healthcare and health insurance industries, impose taxes and fees on the healthcare industry and impose additional health policy reforms.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ACA. For example,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agencies including at HHS, the FDA, The U.S.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establishing Most-Favored-Nation pricing for pharmaceutical products and launching an online clearinghouse (TrumpRx) for patients to purchase certain products from manufacturers on a cash pay basis;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individual states in the United States have increasingly passed legislation and implemented regulations designed to control pharmaceutical and biological product pricing, including price or patient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other comparable foreign regulatory authorities to review and approve new products or take action with respect to other regulatory matters can be affected by a variety of factors, including government budget and funding levels, leadership changes, the ability to hire and retain key personnel and accept payment of user fees, the availability of personnel and other resources, changes in statutes, regulations and policies that affect the FDA’s or comparable foreign regulatory authorities’ ability to perform routine functions, and other business disruptions. Average review times at the FDA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 the last several years, the U.S. government has shut down several times and certain regulatory agencies, such as the FDA and the SEC, have had to furlough critical FDA, SEC and other government employees and stop critical activities. In addition, there have recently been terminations of large numbers of federal employees at various federal agencies, including the FDA. Changes and cuts in FDA staffing could result in delays in the FDA’s responsiveness or in its ability to review IND submissions or applications, issue regulations or guidance or implement or enforce regulatory requirements in a timely fashion, or at all. A prolonged government shutdown and/or employee terminations or resignations could significantly impact the ability of the FDA or other federal agencies to timely review and process our regulatory submissions, which could have a material adverse effect on our business. Further, future government shutdowns and/or employee terminations or resignations at the SEC could impact our ability to access the public markets and obtain necessary capital in order to properly capitalize and continue our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substantial uncertainty as to whether and how the current U.S. Presidential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regarding our product candidates and obtain the requisite regulatory approvals in the future. There is uncertainty as to whether we will be materially and negatively impacted by governmental orders, regulations, policies or guidance or disruptions to the normal operations of government agencies.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using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for the manufacture of our product candidates for clinical testing, as well as for manufacture of any products that we may commercialize, if approved. Currently, our suppliers are located outside of the United States: India (starting materials and active pharmaceutical ingredients) and China (starting materials).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on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w:t>
      </w:r>
      <w:r>
        <w:rPr>
          <w:rFonts w:ascii="Times New Roman" w:hAnsi="Times New Roman"/>
          <w:i/>
          <w:color w:val="000000"/>
          <w:sz w:val="20"/>
        </w:rPr>
        <w:t>Quarterly Report</w:t>
      </w:r>
      <w:r>
        <w:rPr>
          <w:rFonts w:ascii="Times New Roman" w:hAnsi="Times New Roman"/>
          <w:color w:val="000000"/>
          <w:sz w:val="20"/>
        </w:rPr>
        <w: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financial information and information from and about clinical trial participants and results (collectively,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other federal and state laws have established and may in the future establish requirements for protecting the privacy and security of health information that is not protected by HIPAA.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states also impose stricter requirements for processing certain personal data, including sensitive information, such as conducting data privacy impact assessments. For example, the California Consumer Privacy Act of 2018 (CCPA), applies to personal information of California residents and requires businesses subject to the CCPA to provide specific disclosures in privacy notices and respond to requests of such individuals to exercise certain privacy rights. Although there are minimum revenue or personal data processing thresholds for entities to be subject to many of these laws and there are limited exemptions for clinical trial data under the CCPA and similar U.S. state comprehensive privacy laws, such laws may impact (possibly significantly) our business activities depending on how they are interpreted, should we become subject to the CCPA or other such state comprehensive privacy laws in the future. In addition, similar laws are being considered in other states, as well as at the international, federal and local levels, and we expect more laws related to personal data to become effective in the future. These developments may further complicate compliance efforts and increase our legal risk and compliance costs for us and the third parties upon whom we rely.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may govern data privacy and security, including in relation to clinical trial data. For example, we may be subject to the European Union’s General Data Protection Regulation (EU GDPR), the United Kingdom’s General Data Protection Regulation and Data Protection Act 2018 (collectively, the UK GDPR) (the EU GDPR and UK GDPR together referred to as the GDPR), and China’s Personal Information Protection Law (PIPL), each of which impose strict requirements for processing personal data of individuals within the European Economic Area (EEA), the United Kingdom (UK) and China. The PIPL and GDPR impose comprehensive data privacy compliance obligations in relation to our collection and use of data relating to an identifiable living individual or “personal data”, including a principle of accountability and the obligation to demonstrate compliance through policies, procedures, training and audit, as well as regulating cross-border transfers of personal data out of the EEA and the UK (in respect of the GDPR) and China (in respect of the PIPL). In addition, some of the personal data we process in respect of clinical trial participants is special category or sensitive personal data under the GDPR and PIPL, and subject to additional compliance obligations and to local law derogations.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under the GDPR, companies may face temporary or definitive bans on data processing and other corrective actions; fines of up to 20 million Euros under the EU GDPR, 17.5 million pounds sterling under the UK GDPR or, in each case, 4% of the annual global revenues of the noncompliant undertaking, whichever is greater; or private litigation related to processing of personal data brought by classes of data subjects or consumer protection organizations authorized at law to represent their interests; or regulatory investigations, reputational damage, orders to cease/ change our data processing activities, enforcement notices and/or assessment notices (for a compulsory audit).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The PIPL also prohibits responsible personnel for violations of the PIPL from holding high level management or data protection officer positions in relevant enterprises.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be unable to transfer personal data or we may have to implement additional measures to enable the transfer of data to the United States or other countries due to data localization requirements or limitations on cross-border data flows. For example, the PIPL imposes data localization requirements on important data processors and critical information infrastructure operators and personal information processors which process personal information above a certain threshold prescribed by the relevant authorities, unless a security assessment (Security Assessment) is passed. The PIPL also requires data processors to rely on a data export mechanism and comply with certain requirements prior to the transfer of Personal Information outside of China, such as compliance with a Security Assessment or certification by an agency designated by the relevant authorities or entering into standard form model contracts approved by the relevant authorities with the overseas recipient, unless an exemption applies.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U.S. Department of Justice (DoJ)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are (1) foreign entities organized under the laws of, or with a principal place of business in, a country of concern or 50% or more owned, individually or in the aggregate, by one or more countries of concern or other covered persons; (2) foreign entities 50% or more owned, individually or in the aggregate, by a country of concern or another covered person; (3) foreign individuals that are employees or contractors of a country of concern or covered person; and (4) foreign individuals who are primarily a resident in a country of concern) that may impact certain business or management activities such as vendor engagements, licensing arrangements, partnership engagements, sale or sharing of data, employment of certain individuals and investor agreements. Violations of the rule could lead to significant civil and criminal fines and penalties. We may in the future engage in data transactions that could be subject to the rule. Although the DoJ issued compliance guidance and responded to industry questions, we are not aware of the existence of enforcement data or case law that would provide additional guidance on how the rule will be interpreted, and there is a risk that our interpretation of its applicability, scope and requirements could be incorrect, incomplete, or misapplied. The rule applies regardless of whether data is anonymized, key-coded, pseudonymized, de-identified or encrypted, which presents particular challenges for companies like ours and may impact our ability to enter into certain agreements.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employees and personnel use AI Technologies to perform their work, and the disclosure and use of personal data in AI Technologies is subject to various privacy laws and other privacy obligations. Governments have passed and are likely to pass additional laws and regulations regulating AI Technologies. Our use of this technology could result in additional compliance costs, regulatory investigations and actions, and lawsuits. If we are unable to use AI Technologies, it could make our business less efficient and result in competitive disadvantages.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publish privacy policies, marketing materials, whitepapers, and other statements concerning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with whom we work may fail (or be perceived to have failed)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 orders to destroy or not use personal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have a material adverse effect on our reputation, business, or financial condition, including but not limited to: interruptions or stoppages in our business operations; loss of customers; inability to process personal data or to operate in certain jurisdictions; limited ability to develop or commercialize our products; expenditure of time and resources to defend any claim or inquiry; potentially significant financial penalties if we are found to be in violation of our privacy obligations; adverse publicity; or substantial changes to our business model or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Additional laws and regulations governing international operations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further expand our operations outside of the United States, we must dedicate additional resources to comply with numerous laws and regulations in each jurisdiction in which we plan to operate. The FCPA prohibits any U.S. individual or business from paying, offering, authorizing payment or offering of anything of value, directly or indirectly, to any foreign official, political party or candidate, and other related parties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are subject to certain U.S. and foreign anti-corruption, anti-money laundering, export control, sanctions and other trade laws and regulations (collectively, Trade Laws). We can face serious consequences for violations.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Trade Laws. Among other things, Trade Laws prohibit companies and their employees, agents, clinical research organizations,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authorities or government-affiliated hospitals, universities and other organizations. 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 we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quarterly and annual operating results may fluctuate significantly or may fall below the expectations of investors or securities analysts or any guidance we may publicly provide, each of which may cause our stock price to fluctuate or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operating results to be subject to quarterly and annual fluctuations which may, in turn, cause the price of our common stock to fluctuate substantially.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onzotrigine, LTG-321, LTG-418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and timing of preclinical studies and ongoing and future clinical trials, or the addition or termination of any such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payments we may make or receive under existing license and collaboration arrangements or the termination or modification thereof;</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strategic transactions, including acquisitions, collaborations, licenses or similar arrangements, and the timing and amount of payments we may make or receive in connection with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receive regulatory approval in the future, the terms of such approval and market acceptance and demand for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or regional public health emergencies, including any health epidemics and their residual effects, natural disasters or major catastrophic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macroeconomic conditions or geopolitical events and conflicts, any health epidemics and their residual effects, bank failures, or inflation and increased interest rates, on our preclinical and clinical development or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inflation and rising interest rates on our business and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trading price of our common stock is likely to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likely to be volatile. The stock market in general and the market for stock of biotechnology companies in particular have experienced extreme volatility that has often been unrelated to the operating performance of particular companies. As a result of this volatility, you may not be able to sell your shares of our common stock at or above the price at which you paid for such shares. The market price for our common stock may be influenced by those factors discussed in this “Risk Factors” section and many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and instability in the financial and capital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our product candidates, including the results of clinical trials by us or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our product candidates, if approved, and the recognition of our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proposed products, technologies or treatment techniques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contracts, acquisitions, divestitures or partnerships by us, our competitors or our collaboration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clearance, certification or approval of our product candidates or those products of our competitors or collaboration partners, or the failure to obtain such clearances, certifications or approvals on the projected timeline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announcement of a product recall, suspension or other safety notice associated with our products or the products of our competitors, or other similar regulatory enforcement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and operating results relative to the expectations of securities analysts and other market participants and the issuance of securities analysts’ reports or recommendations;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threatened or actual litigation, regulatory proceedings or government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manufacturing for our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and market acceptance of existing or new competitive therapies, products or technologies, including suzetrigine;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new products that may address our markets and make our product candidates less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discontinuation of any of our research or development programs;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level of expenses related to any of our research or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any existing or future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our partners or our competitors of significant acquisitions, strategic partnerships,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meet or exceed financial estimates and projections of the investment community or that we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expected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common stock by us, our executive officers, directors or principal stockholders, or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and market conditions and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other factors described in this “Risk Factors” section and elsewhere in this </w:t>
      </w:r>
      <w:r>
        <w:rPr>
          <w:rFonts w:ascii="Times New Roman" w:hAnsi="Times New Roman"/>
          <w:i/>
          <w:color w:val="000000"/>
          <w:sz w:val="20"/>
        </w:rPr>
        <w:t>Quarterly Report</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price volatility, holders of securities may institute securities class action litigation against the issuer. If any holders of our common stock were to bring such a lawsuit against us, we could incur substantial costs defending the lawsuit and the attention of our board of directors and senior management would be diverted from the operation of our business. Any adverse determination in litigation could also subject us to significant liabilities. As a result of this volatility, you may not realize any return on, or you may lose some or all of your investment. Broad market and industry factors such as these could materially and adversely affect the market price of our stock, regardless of our actual operating performance.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executive officers, directors and principal stockholders, if they choose to act together, will continue to have the ability to control or significantly influence all matters submitted to stockholders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directors, holders of 5% or more of our capital stock and their respective affiliates beneficially own a significant percentage of our outstanding common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sale of all or substantially all of our assets or other business combination that other stockholders may desire. The interests of these stockholders may not always coincide with your interests or the interests of other stockholders, and they may act in a manner that advances their best interests and not necessarily those of other stockholders, including seeking a premium value for their common stock. Any of these actions could adversely affect the market price of our common stock.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 significant portion of our total outstanding shares are eligible to be sold into the market in the near future, which could cause the market price of our common stock to drop significantly,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shares of our common stock intend to sell shares of our common stock, could reduce the market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Approximately 44,219,347 shares of our common stock are initially restricted as a result of securities laws, market standoff provisions or lock-up agreements, but will become eligible to be sold after the IPO.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certain of our stockholders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 agreements between us and such holders. We also registered all shares of our common stock subject to equity awards issued or reserved for future issuance under our equity compensation plans on a registration statement on Form S-8 filed with the SEC on August 10, 2026. These shares can be freely sold in the public market upon issuance, subject to volume limitations applicable to affiliates under Rule 144 under the Securities Act and the market standoff provisions and lock-up agreements described above. Any sales of securities by these stockholders could have a negative impact on the trading price of our common stock.</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w:t>
      </w:r>
      <w:r>
        <w:rPr>
          <w:rFonts w:ascii="Times New Roman" w:hAnsi="Times New Roman"/>
          <w:i/>
          <w:color w:val="000000"/>
          <w:sz w:val="20"/>
        </w:rPr>
        <w:t>Quarterly Report</w:t>
      </w:r>
      <w:r>
        <w:rPr>
          <w:rFonts w:ascii="Times New Roman" w:hAnsi="Times New Roman"/>
          <w:color w:val="000000"/>
          <w:sz w:val="20"/>
        </w:rPr>
        <w:t xml:space="preserve">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w:t>
      </w:r>
      <w:r>
        <w:rPr>
          <w:rFonts w:ascii="Times New Roman" w:hAnsi="Times New Roman"/>
          <w:i/>
          <w:color w:val="000000"/>
          <w:sz w:val="20"/>
        </w:rPr>
        <w:t>Quarterly Report</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be an emerging growth company for up to five years following the fifth anniversary of our IPO, although circumstances could cause us to lose that status earlier. We will remain an emerging growth company until the earlier of (i) the last day of the fiscal year (a) following the fifth anniversary of our IPO, (b) in which we have total annual gross revenue of at least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$1.235 billion and (c) in which we are deemed to be a large accelerated filer, which requires the market value of our common stock that is held by non-affiliates to exceed $700.0 million as of the prior June 30th, and (ii) the date on which we have issued more than $1.0 billion in non-convertible debt during the prior three-year period.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JOBS Act, emerging growth companies also can delay adopting new or revised accounting standards until such time as those standards apply to private companies. We have elected to avail ourselves of this exemption, and, as a result, our operating results and financial statements may not be comparable to the operating results and financial statements of companies who have adopted the new or revised accounting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are a “smaller reporting company,” meaning the market value of our voting and non-voting common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Future sales and issuances of our securities, including pursuant to our equity incentive plans, may cause dilution to our stockholders or decrease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significant additional capital may be necessary to continue our planned operations, including to expand product development and commercialize our products. We may seek additional capital through public or private equity or debt financings or other capital sources, which may include strategic collaborations and other strategic arrangements with third parties, to enable us to complete the development and potential commercialization of our product candidates. To the extent that we raise additional capital through the sale of equity or convertible debt securities, your ownership interest will be diluted, and the terms may include liquidation or other preferences that adversely affect your rights as a stockholder.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our 2026 Equity Incentive Plan (2026 Plan), our management is authorized to grant stock options and other equity-based awards to our employees, directors and consultants. Additionally, the number of shares of our common stock reserved for issuance under our 2026 Plan will automatically increase on January 1 of each calendar year, beginning on January 1, 2027 and continuing through and including January 1, 2036, by 5.0% of the total number of shares of our common stock (including shares issuable upon exercise, conversion, or exchange of all then-outstanding pre-funded warrants, or other rights exercisable for or convertible into, directly or indirectly, shares of common stock (whether vested or unvested), but excluding shares issuable upon the exercise of then-outstanding options and the shares reserved and available for issuance under our then-existing equity incentive plan(s) and employee stock purchase plan(s), if any) outstanding on December 31 of the preceding calendar year, or a lesser number of shares determined by our board of directors. In addition, pursuant to our ESPP, the number of shares of our common stock reserved for issuance will automatically increase on January 1 of each calendar year, beginning on January 1, 2027 and continuing through and including January 1, 2036, by the lesser of (i) 1.0% of the total number of shares of our common stock (including shares issuable upon exercise, conversion, or exchange of all then-outstanding pre-funded warrants, or other rights exercisable for or convertible into, directly or indirectly, shares of common stock (whether vested or unvested), but excluding shares issuable upon the exercise of then-outstanding options and the shares reserved and available for issuance under our then-existing equity incentive plan(s) and employee stock purchase plan(s), if any) outstanding on the last day of the calendar month before the date of the automatic increase and (ii) 1,882,035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Because we do not anticipate paying any cash dividends on our common stock in the foreseeable future, capital appreciation, if any, would be your sole source of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our common stock for the foreseeable future.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Delaware law and provisions in our amended and restated certificate of incorporation and amended and restated bylaws which are in effect could make a merger, tender offer or proxy contest difficult, thereby depressing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of our amended and restated certificate of incorporation and amended and restated bylaws, which are in effect,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Therefore, these provisions could adversely affect the price of our common stock. Among other things, our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permit our board of directors to issue up to 10,000,000 shares of preferred stock, with any rights, preferences and privileges as they may designate (including the right to approve an acquisition or other change in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the authorized number of directors may be changed only by resolution of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the board of directors or any individual director may only be removed with cause and the affirmative vote of the holders of at least 66-2/3% of the voting power of all of our then outstanding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 our board of directors into three classes, with each class serving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any action to be taken by our stockholders be effected at a duly called annual or special meeting of stockholders and not be taken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 not provide for cumulative voting rights, therefore allowing the holders of a majority of the shares of our common stock entitled to vote in any election of directors to elect all of the directors standing for election, if they should so choose;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special meetings of our stockholders may be called only by the Chairman of the board, our Chief Executive Officer or by the board of directors pursuant to a resolution adopted by a majority of the total number of authorized directors.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Delaware corporation, we are subject to Section 203 of the Delaware General Corporation Law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provisions in our amended and restated certificate of incorporation, amended and restated bylaws and Delaware law make it more difficult or costly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amended and restated certificate of incorporation provides that the Court of Chancery of the State of Delaware and any appellate court therefrom are the exclusive forums for substantially all disputes between us and our stockholders, other than any complaint asserting a cause of action arising under the Exchange Act or the Securities Act,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breach of fiduciary duty;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seeking to interpret, apply, enforce or determine the validity of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to which the DGCL confers jurisdiction on the Court of Chancery of the State of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provision does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Additionally, investors cannot waive compliance with the federal securities laws and the rules and regulations thereunder.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exclusive forum provision may result in increased costs to stockholders to bring a claim. Further,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operations are concentrated in two locations within California, and we or the third parties upon whom we depend may be adversely affected by a wildfire and earthquake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ability to use our net operating loss (NOL) carryforwards and certain other tax attributes to offset taxable income or taxes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U.S. federal income tax law, federal NOLs incurred in tax years beginning after December 31, 2017 may be carried forward indefinitely, but the deductibility of such federal NOLs is limited to 80% of taxable income.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utilize its pre-change NOL carryforwards and other pre-change tax attributes to offset its post-change income or taxes may be limited. We have undergone ownership changes in the past for purposes of Sections 382 and 383 of the Code, and therefore our ability to utilize certain of our NOLs and other tax attributes is limited. Moreover, future changes in our share ownership, some of which are outside of our control, could result in one or more subsequent ownership changes under Sections 382 and 383 of the Code and impose additional limitations on our ability to utilize our NOLs and other tax attributes. As a result, even if we attain profitability, our NOLs and other tax attributes may be subject to material usage limitations, which could negatively impact our future cash flows. In addition, for state income tax purposes, there may be periods during which the use of NOL carryforwards is suspended or otherwise limited, which could accelerate or permanently increase state taxes owed. For example, California imposed limits on the usability of California state NOLs to offset taxable income and certain business credits to offset California state tax liabilities in tax years beginning after 2023 and before 2027.</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and evolving requirements in tax laws or their interpretation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regimes we are subject to or operate under, including with respect to income and non-income taxes, are unsettled and may be subject to significant change. The OBBBA enacted in 2025, the IRA enacted in 2022, the Coronavirus Aid, Relief, and Economic Security Act enacted in 2020, and the Tax Cuts and Jobs Act enacted in 2017 made many significant changes to the Code. Future guidance from the Internal Revenue Service and other tax authorities with respect to any legislation may affect us, and certain aspects of such legislation could be repealed or modified in future legislation or sunset in future years. It is possible that changes in or interpretations under the OBBBA, the Tax Cuts and Jobs Act or other tax legislation, or the enactment of new tax legislation, could increase our future tax liability, which could in turn adversely impact our business and future profitability. The U.S. government may enact further changes to the taxation of business entities including, among others, an increase in the corporate income tax rate, the imposition of minimum taxes or surtaxes on certain types of income and significant changes to the taxation of income derived from international operations. We are unable to predict what changes to the tax laws of the United States and other jurisdictions may be proposed or enacted in the future or what effect such changes would have on our business. Any of these or similar developments or changes to tax laws or rulings (which changes may have retroactive application) could result in adverse impacts to our financial condition, operating results and prospects and a material change to the tax considerations described herein.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Unstable economic and market conditions may have serious adverse consequences on our business, financial condition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bank failures, labor shortages, declines in consumer confidence, declines in economic growth, increases in unemployment rates, recession risks and uncertainty about economic and geopolitical stability (such as the geopolitical tensions between the United States and China, the Russia/Ukraine conflict, conflicts in the Middle East). While we do not expect further developments with any such banks to have a material impact on our cash, cash equivalents and restricted cash balance, expected results of operations or financial performance for the foreseeable future, if further failures in financial institutions occur where we hold deposits, we could experience additional risk. Any such loss or limitation on our cash, cash equivalents and restricted cash would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will incur increased costs and become subject to additional regulations and requirements as a result of being a public company, and our management will be required to devote substantial time to compliance with our public company responsibilities and corporate governance practices, which could impact our financial condition and results of operations and make it more difficult to run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or smaller reporting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these rules and regulations will increase our legal and financial compliance costs and will make some activities more time-consuming and costly. We cannot predict or estimate the amount of additional costs we will incur as a public company or the timing of such costs. Furthermore, if we are unable to satisfy our obligations as a public company, we could be subject to delisting of our common stock, fines, sanctions, other regulatory action and potentially civil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increases in costs incurred as a result of becoming a publicly-traded company may adversely affect our business,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 we fail to maintain effective internal control over financial reporting, we may not be able to accurately report our financial results or prevent or detect misstatements, whether due to fraud or error. As a result, stockholders could lose confidence in our financial and other public reporting, which would harm our business and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 rules that implement Section 404(a) of the Sarbanes-Oxley Act require that, beginning with our second annual report following our IPO, management assess and report annually on the effectiveness of our internal control over financial reporting and identify any material weaknesses in our internal control over financial reporting. Although SEC rules that implement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of the Sarbanes-Oxley Act until such time as we are no longer an emerging growth company or smaller reporting company.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stock.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 Additionally, the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insurance policies may be inadequate, may not cover all of our potential liabilities and may potentially expose us to unrecoverable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carry insurance for all categories of risk that our business may encounter. Some of the policies we currently maintain include property, general liability, employee benefits liability, workers’ compensation, clinical trials/products liability,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granted options to purchase shares of our common stock under our equity incentive plan. The stock options were issued pursuant to written compensatory plans or arrangements with our employees and directors, in reliance on the exemption from the registration requirements provided by Rule 701 promulgated under the Securities Act or the exemption set forth in Section 4(a)(2) under the Securities Act and Rule 506 promulgated thereunder as a transaction not involving any public offering.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Common Stock Issued Upon Conversion of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completion of our IPO, we filed an Amended and Restated Certificate of Incorporation, which authorized a total of 999,999,999 shares of common stock and 10,000,000 shares of preferred stock. Upon such filing and immediately prior to the completion of the IPO, 41,155,082 outstanding shares of redeemable convertible preferred stock converted into 41,155,082 shares of common stock. The issuance of such shares of our common stock was exempt from registration under Section 3(a)(9) or Section 4(2) of the Securities Act.</w:t>
      </w:r>
    </w:p>
    <w:p>
      <w:pPr>
        <w:pStyle w:val="TextBody"/>
        <w:bidi w:val="0"/>
        <w:spacing w:before="240" w:after="283"/>
        <w:jc w:val="left"/>
        <w:rPr>
          <w:rFonts w:ascii="Times New Roman" w:hAnsi="Times New Roman"/>
          <w:sz w:val="20"/>
        </w:rPr>
      </w:pPr>
      <w:r>
        <w:rPr>
          <w:rFonts w:ascii="Times New Roman" w:hAnsi="Times New Roman"/>
          <w:i/>
          <w:color w:val="000000"/>
          <w:sz w:val="20"/>
        </w:rPr>
        <w:t>Common Stock Issued Upon Conversion of Convertible Promissory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of the IPO, we had outstanding convertible promissory notes in an aggregate principal amount of $35.0 million automatically convert into 1,957,755 shares of our common stock based on the IPO price (as defined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2026, we completed our IPO, pursuant to which we issued and sold 22,080,000 shares of our common stock at a public offering price of $18.00 per share (IPO Price), including 2,880,000 additional shares of our common stock pursuant to the exercise in full by the underwriters of their option to purchase shares of common stock from us at the IPO Price. The offer and sale of all of the shares of our common stock in the IPO were registered under the Securities Act pursuant to our Registration Statement on Form S-1, as amended (File No. 333-297518) (Registration Statement), which was declared effective by the SEC on August 6, 2026. Goldman Sachs &amp; Co. LLC, Jefferies LLC, Leerink Partners LLC and Guggenheim Securities, LLC acted as joint book-running managers for the IPO. Shares of our common stock began trading on The Nasdaq Global Select Market under the symbol “LTGO” on August 7,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received gross proceeds from the IPO of approximately $397.4 million, which resulted in net proceeds of approximately $363.9 million, after deducting underwriting discounts and commissions and other offering expenses payable by us. None of the underwriting discounts and commissions or other offering expenses were incurred or paid, directly or indirectly, to any of our directors or officers or their associates or to persons owning 10% or more of our common stock or to any of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the expected use of the net proceeds from our IPO as described in the Prospectus that forms a part of our Registration Statement, which was filed with the SEC on August 7, 2026 pursuant to Rule 424(b)(4).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2"/>
        <w:gridCol w:w="146"/>
        <w:gridCol w:w="3392"/>
        <w:gridCol w:w="2392"/>
        <w:gridCol w:w="109"/>
        <w:gridCol w:w="146"/>
        <w:gridCol w:w="526"/>
        <w:gridCol w:w="146"/>
        <w:gridCol w:w="146"/>
        <w:gridCol w:w="591"/>
        <w:gridCol w:w="146"/>
        <w:gridCol w:w="146"/>
        <w:gridCol w:w="643"/>
        <w:gridCol w:w="146"/>
        <w:gridCol w:w="828"/>
      </w:tblGrid>
      <w:tr>
        <w:trPr/>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02"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Exhibit </w:t>
              <w:b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8"/>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2"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vMerge w:val="continue"/>
            <w:tcBorders/>
            <w:tcMar>
              <w:top w:w="0" w:type="dxa"/>
              <w:left w:w="0" w:type="dxa"/>
              <w:bottom w:w="0" w:type="dxa"/>
              <w:right w:w="0" w:type="dxa"/>
            </w:tcMar>
            <w:vAlign w:val="center"/>
          </w:tcPr>
          <w:p>
            <w:pPr>
              <w:pStyle w:val="Normal"/>
              <w:bidi w:val="0"/>
              <w:jc w:val="left"/>
              <w:rPr/>
            </w:pPr>
            <w:r>
              <w:rPr/>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6"/>
                  <w:u w:val="single"/>
                </w:rPr>
                <w:t>Amended and Restated Certificate of Incorporation.</w:t>
              </w:r>
            </w:hyperlink>
            <w:r>
              <w:rPr>
                <w:rFonts w:ascii="Times New Roman" w:hAnsi="Times New Roman"/>
                <w:color w:val="000000"/>
                <w:sz w:val="16"/>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8/10/2026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6"/>
                  <w:u w:val="single"/>
                </w:rPr>
                <w:t>Amended and Restated Bylaws.</w:t>
              </w:r>
            </w:hyperlink>
            <w:hyperlink r:id="rId4">
              <w:r>
                <w:rPr>
                  <w:rStyle w:val="InternetLink"/>
                  <w:rFonts w:ascii="Times New Roman" w:hAnsi="Times New Roman"/>
                  <w:color w:val="0000FF"/>
                  <w:sz w:val="16"/>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8/03/2026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6"/>
                  <w:u w:val="single"/>
                </w:rPr>
                <w:t>Form of Common Stock Certificate.</w:t>
              </w:r>
            </w:hyperlink>
            <w:hyperlink r:id="rId6">
              <w:r>
                <w:rPr>
                  <w:rStyle w:val="InternetLink"/>
                  <w:rFonts w:ascii="Times New Roman" w:hAnsi="Times New Roman"/>
                  <w:color w:val="0000FF"/>
                  <w:sz w:val="16"/>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8/03/2026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6"/>
                  <w:u w:val="single"/>
                </w:rPr>
                <w:t>Amended and Restated Investors’ Rights Agreement, dated January 28, 2025, by and among the Registrant and the investors named therein.</w:t>
              </w:r>
            </w:hyperlink>
            <w:r>
              <w:rPr>
                <w:rFonts w:ascii="Times New Roman" w:hAnsi="Times New Roman"/>
                <w:color w:val="000000"/>
                <w:sz w:val="16"/>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6"/>
                  <w:u w:val="single"/>
                </w:rPr>
                <w:t>Form of Indemnification Agreement, between the Registrant and each of its directors and executive officers.</w:t>
              </w:r>
            </w:hyperlink>
            <w:hyperlink r:id="rId9">
              <w:r>
                <w:rPr>
                  <w:rStyle w:val="InternetLink"/>
                  <w:rFonts w:ascii="Times New Roman" w:hAnsi="Times New Roman"/>
                  <w:color w:val="0000FF"/>
                  <w:sz w:val="16"/>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6"/>
                  <w:u w:val="single"/>
                </w:rPr>
                <w:t>Latigo Biotherapeutics, Inc. 2026 Equity Incentive Plan</w:t>
              </w:r>
            </w:hyperlink>
            <w:hyperlink r:id="rId11">
              <w:r>
                <w:rPr>
                  <w:rStyle w:val="InternetLink"/>
                  <w:rFonts w:ascii="Times New Roman" w:hAnsi="Times New Roman"/>
                  <w:color w:val="0000FF"/>
                  <w:sz w:val="16"/>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8/10/2026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99.3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jc w:val="left"/>
              <w:rPr/>
            </w:pPr>
            <w:hyperlink r:id="rId12">
              <w:r>
                <w:rPr>
                  <w:rStyle w:val="InternetLink"/>
                  <w:rFonts w:ascii="Times New Roman" w:hAnsi="Times New Roman"/>
                  <w:color w:val="0000FF"/>
                  <w:sz w:val="16"/>
                  <w:u w:val="single"/>
                </w:rPr>
                <w:t>Forms of Stock Option Grant Notice, Option Agreement and Notice of Exercise under the</w:t>
              </w:r>
            </w:hyperlink>
          </w:p>
          <w:p>
            <w:pPr>
              <w:pStyle w:val="TableContents"/>
              <w:bidi w:val="0"/>
              <w:spacing w:before="0" w:after="283"/>
              <w:jc w:val="left"/>
              <w:rPr/>
            </w:pPr>
            <w:hyperlink r:id="rId13">
              <w:r>
                <w:rPr>
                  <w:rStyle w:val="InternetLink"/>
                  <w:rFonts w:ascii="Times New Roman" w:hAnsi="Times New Roman"/>
                  <w:color w:val="0000FF"/>
                  <w:sz w:val="16"/>
                  <w:u w:val="single"/>
                </w:rPr>
                <w:t>Latigo Biotherapeutics, Inc. 2026 Equity Incentive Plan.</w:t>
              </w:r>
            </w:hyperlink>
            <w:hyperlink r:id="rId14">
              <w:r>
                <w:rPr>
                  <w:rStyle w:val="InternetLink"/>
                  <w:rFonts w:ascii="Times New Roman" w:hAnsi="Times New Roman"/>
                  <w:color w:val="0000FF"/>
                  <w:sz w:val="16"/>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6"/>
                  <w:u w:val="single"/>
                </w:rPr>
                <w:t>Latigo Biotherapeutics, Inc. 2026 Employee Stock Purchase Plan.</w:t>
              </w:r>
            </w:hyperlink>
            <w:hyperlink r:id="rId16">
              <w:r>
                <w:rPr>
                  <w:rStyle w:val="InternetLink"/>
                  <w:rFonts w:ascii="Times New Roman" w:hAnsi="Times New Roman"/>
                  <w:color w:val="0000FF"/>
                  <w:sz w:val="16"/>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8/10/2026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6"/>
                  <w:u w:val="single"/>
                </w:rPr>
                <w:t>Non-Employee Director Compensation Policy.</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8/03/2026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6"/>
                  <w:u w:val="single"/>
                </w:rPr>
                <w:t>Latigo Biotherapeutics, Inc. Severance Plan.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2" w:type="dxa"/>
            <w:tcBorders/>
            <w:tcMar>
              <w:top w:w="0" w:type="dxa"/>
              <w:left w:w="0" w:type="dxa"/>
              <w:bottom w:w="0" w:type="dxa"/>
              <w:right w:w="0" w:type="dxa"/>
            </w:tcMar>
            <w:vAlign w:val="center"/>
          </w:tcPr>
          <w:p>
            <w:pPr>
              <w:pStyle w:val="TableContents"/>
              <w:bidi w:val="0"/>
              <w:spacing w:before="0" w:after="283"/>
              <w:jc w:val="left"/>
              <w:rPr/>
            </w:pPr>
            <w:r>
              <w:rPr/>
              <w:t> </w:t>
            </w:r>
          </w:p>
        </w:tc>
        <w:tc>
          <w:tcPr>
            <w:tcW w:w="5965" w:type="dxa"/>
            <w:gridSpan w:val="1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6"/>
                  <w:u w:val="single"/>
                </w:rPr>
                <w:t>Executive Employment Agreement, dated July 15, 2026, between the Registrant and Nima Farzan.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6"/>
                  <w:u w:val="single"/>
                </w:rPr>
                <w:t>Executive Employment Agreement, dated July 15, 2026, between the Registrant and Neil Singla, M.D.</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6"/>
                  <w:u w:val="single"/>
                </w:rPr>
                <w:t>Executive Employment Agreement, dated July 15, 2026, between the Registrant and Neha Krishnamohan.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w:anchor="ltgo-ex31_1.htm">
              <w:r>
                <w:rPr>
                  <w:rStyle w:val="InternetLink"/>
                  <w:rFonts w:ascii="Times New Roman" w:hAnsi="Times New Roman"/>
                  <w:color w:val="0000FF"/>
                  <w:sz w:val="16"/>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color w:val="000000"/>
                <w:sz w:val="16"/>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w:anchor="ltgo-ex31_2.htm">
              <w:r>
                <w:rPr>
                  <w:rStyle w:val="InternetLink"/>
                  <w:rFonts w:ascii="Times New Roman" w:hAnsi="Times New Roman"/>
                  <w:color w:val="0000FF"/>
                  <w:sz w:val="16"/>
                  <w:u w:val="single"/>
                </w:rPr>
                <w:t>Certification of Principal Financial Officer Pursuant to Rules 13a-14(a) and 15d-14(a) under the Securities Exchange Act of 1934, as Adopted Pursuant to Section 302 of the Sarbanes-Oxley Act of 2002.</w:t>
              </w:r>
            </w:hyperlink>
            <w:r>
              <w:rPr>
                <w:rFonts w:ascii="Times New Roman" w:hAnsi="Times New Roman"/>
                <w:color w:val="000000"/>
                <w:sz w:val="16"/>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pPr>
            <w:hyperlink w:anchor="ltgo-ex32_1.htm">
              <w:r>
                <w:rPr>
                  <w:rStyle w:val="InternetLink"/>
                  <w:rFonts w:ascii="Times New Roman" w:hAnsi="Times New Roman"/>
                  <w:color w:val="0000FF"/>
                  <w:sz w:val="16"/>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16"/>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02"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16"/>
              </w:rPr>
            </w:pPr>
            <w:r>
              <w:rPr>
                <w:rFonts w:ascii="Times New Roman" w:hAnsi="Times New Roman"/>
                <w:color w:val="000000"/>
                <w:sz w:val="16"/>
              </w:rPr>
              <w:t>X</w:t>
            </w:r>
          </w:p>
        </w:tc>
      </w:tr>
    </w:tbl>
    <w:p>
      <w:pPr>
        <w:pStyle w:val="TextBody"/>
        <w:pBdr>
          <w:bottom w:val="single" w:sz="4" w:space="1" w:color="000000"/>
        </w:pBdr>
        <w:bidi w:val="0"/>
        <w:jc w:val="both"/>
        <w:rPr/>
      </w:pPr>
      <w:r>
        <w:rPr/>
        <w:t>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Indicates a management contract or any compensatory plan, contract or arrangement.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 Certain schedules and exhibits to this exhibit have been omitted pursuant to Item 601(a)(5) of Regulation S-K.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7668" w:type="dxa"/>
        <w:jc w:val="left"/>
        <w:tblInd w:w="0" w:type="dxa"/>
        <w:tblLayout w:type="fixed"/>
        <w:tblCellMar>
          <w:top w:w="28" w:type="dxa"/>
          <w:left w:w="28" w:type="dxa"/>
          <w:bottom w:w="28" w:type="dxa"/>
          <w:right w:w="28" w:type="dxa"/>
        </w:tblCellMar>
      </w:tblPr>
      <w:tblGrid>
        <w:gridCol w:w="2116"/>
        <w:gridCol w:w="406"/>
        <w:gridCol w:w="514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55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LATIGO BIOTHERAPEUTICS,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Nima Farzan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Nima Farzan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Neha Krishnamohan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Neha Krishnamohan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 xml:space="preserve">Chief Financial Officer and Chief Business Officer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ltgo-ex31_1.htm"/>
      <w:bookmarkStart w:id="22" w:name="ksltgoex31_1"/>
      <w:bookmarkEnd w:id="21"/>
      <w:bookmarkEnd w:id="22"/>
      <w:r>
        <w:rPr>
          <w:rFonts w:ascii="Times New Roman" w:hAnsi="Times New Roman"/>
          <w:b/>
          <w:color w:val="000000"/>
          <w:sz w:val="24"/>
        </w:rPr>
        <w:t>Exhibit 31.1</w:t>
      </w:r>
      <w:r>
        <w:br w:type="page"/>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CERTIFICATION OF CHIEF EXECUTIVE OFFICER 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I, Nima Farzan, certify that: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 have reviewed this quarterly report on Form 10-Q of Latigo Biotherapeutics, Inc.;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Date: </w:t>
      </w:r>
      <w:r>
        <w:rPr>
          <w:rFonts w:ascii="Times New Roman" w:hAnsi="Times New Roman"/>
          <w:color w:val="000000"/>
          <w:sz w:val="24"/>
          <w:u w:val="single"/>
        </w:rPr>
        <w:t>September 3, 2026</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u w:val="single"/>
        </w:rPr>
        <w:t>/s/ Nima Farzan</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Nima Farzan</w:t>
      </w:r>
    </w:p>
    <w:p>
      <w:pPr>
        <w:pStyle w:val="TextBody"/>
        <w:bidi w:val="0"/>
        <w:jc w:val="left"/>
        <w:rPr>
          <w:rFonts w:ascii="Times New Roman" w:hAnsi="Times New Roman"/>
          <w:color w:val="000000"/>
          <w:sz w:val="24"/>
        </w:rPr>
      </w:pPr>
      <w:r>
        <w:rPr>
          <w:rFonts w:ascii="Times New Roman" w:hAnsi="Times New Roman"/>
          <w:color w:val="000000"/>
          <w:sz w:val="24"/>
        </w:rPr>
        <w:t>President and Chief Executive Officer</w:t>
      </w:r>
    </w:p>
    <w:p>
      <w:pPr>
        <w:pStyle w:val="TextBody"/>
        <w:bidi w:val="0"/>
        <w:jc w:val="left"/>
        <w:rPr>
          <w:rFonts w:ascii="Times New Roman" w:hAnsi="Times New Roman"/>
          <w:color w:val="000000"/>
          <w:sz w:val="24"/>
        </w:rPr>
      </w:pPr>
      <w:r>
        <w:rPr>
          <w:rFonts w:ascii="Times New Roman" w:hAnsi="Times New Roman"/>
          <w:color w:val="000000"/>
          <w:sz w:val="24"/>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ltgo-ex31_2.htm"/>
      <w:bookmarkStart w:id="24" w:name="ksltgoex31_2"/>
      <w:bookmarkEnd w:id="23"/>
      <w:bookmarkEnd w:id="24"/>
      <w:r>
        <w:rPr>
          <w:rFonts w:ascii="Times New Roman" w:hAnsi="Times New Roman"/>
          <w:b/>
          <w:color w:val="000000"/>
          <w:sz w:val="24"/>
        </w:rPr>
        <w:t>Exhibit 31.2</w:t>
      </w:r>
      <w:r>
        <w:br w:type="page"/>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CERTIFICATION OF CHIEF FINANCIAL OFFICER 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I, Neha Krishnamohan, certify that: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 have reviewed this quarterly report on Form 10-Q of Latigo Biotherapeutics, Inc.;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Date: </w:t>
      </w:r>
      <w:r>
        <w:rPr>
          <w:rFonts w:ascii="Times New Roman" w:hAnsi="Times New Roman"/>
          <w:color w:val="000000"/>
          <w:sz w:val="24"/>
          <w:u w:val="single"/>
        </w:rPr>
        <w:t>September 3, 2026</w:t>
      </w:r>
    </w:p>
    <w:p>
      <w:pPr>
        <w:pStyle w:val="TextBody"/>
        <w:bidi w:val="0"/>
        <w:jc w:val="left"/>
        <w:rPr/>
      </w:pPr>
      <w:r>
        <w:rPr/>
        <w:t> </w:t>
      </w:r>
    </w:p>
    <w:p>
      <w:pPr>
        <w:pStyle w:val="TextBody"/>
        <w:bidi w:val="0"/>
        <w:spacing w:before="0" w:after="20"/>
        <w:jc w:val="left"/>
        <w:rPr>
          <w:rFonts w:ascii="Times New Roman" w:hAnsi="Times New Roman"/>
          <w:sz w:val="24"/>
        </w:rPr>
      </w:pPr>
      <w:r>
        <w:rPr>
          <w:rFonts w:ascii="Times New Roman" w:hAnsi="Times New Roman"/>
          <w:color w:val="000000"/>
          <w:sz w:val="24"/>
          <w:u w:val="single"/>
        </w:rPr>
        <w:t>/s/ Neha Krishnamohan</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Neha Krishnamohan</w:t>
      </w:r>
    </w:p>
    <w:p>
      <w:pPr>
        <w:pStyle w:val="TextBody"/>
        <w:bidi w:val="0"/>
        <w:jc w:val="left"/>
        <w:rPr>
          <w:rFonts w:ascii="Times New Roman" w:hAnsi="Times New Roman"/>
          <w:color w:val="000000"/>
          <w:sz w:val="24"/>
        </w:rPr>
      </w:pPr>
      <w:r>
        <w:rPr>
          <w:rFonts w:ascii="Times New Roman" w:hAnsi="Times New Roman"/>
          <w:color w:val="000000"/>
          <w:sz w:val="24"/>
        </w:rPr>
        <w:t>Chief Financial Officer &amp; Chief Business Officer</w:t>
      </w:r>
    </w:p>
    <w:p>
      <w:pPr>
        <w:pStyle w:val="TextBody"/>
        <w:bidi w:val="0"/>
        <w:jc w:val="left"/>
        <w:rPr>
          <w:rFonts w:ascii="Times New Roman" w:hAnsi="Times New Roman"/>
          <w:color w:val="000000"/>
          <w:sz w:val="24"/>
        </w:rPr>
      </w:pPr>
      <w:r>
        <w:rPr>
          <w:rFonts w:ascii="Times New Roman" w:hAnsi="Times New Roman"/>
          <w:color w:val="000000"/>
          <w:sz w:val="24"/>
        </w:rPr>
        <w:t>(Principal Financial Officer and Principal Accounting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5" w:name="ltgo-ex32_1.htm"/>
      <w:bookmarkStart w:id="26" w:name="ksltgoex32_1"/>
      <w:bookmarkEnd w:id="25"/>
      <w:bookmarkEnd w:id="26"/>
      <w:r>
        <w:rPr>
          <w:rFonts w:ascii="Times New Roman" w:hAnsi="Times New Roman"/>
          <w:b/>
          <w:color w:val="000000"/>
          <w:sz w:val="22"/>
        </w:rPr>
        <w:t>Exhibit 32.1</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2"/>
        </w:rPr>
      </w:pPr>
      <w:bookmarkStart w:id="27" w:name="ole_link1"/>
      <w:bookmarkEnd w:id="27"/>
      <w:r>
        <w:rPr>
          <w:rFonts w:ascii="Times New Roman" w:hAnsi="Times New Roman"/>
          <w:b/>
          <w:color w:val="000000"/>
          <w:sz w:val="22"/>
        </w:rPr>
        <w:t>CERTIFICATION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requirement set forth in Rule 13a-14(b) of the Securities Exchange Act of 1934, as amended, (the “Exchange Act”) and Section 1350 of Chapter 63 of Title 18 of the United States Code (18 U.S.C. §1350), Nima Farzan, President and Chief Executive Officer of Latigo Biotherapeutics, Inc. (the “Company”), and Neha Krishnamohan, Chief Financial Officer and Chief Business Officer of the Company, each hereby certifies that, to the best of his or her knowledge: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information contained in the Periodic Report fairly presents, in all material respects, the financial condition and results of operations of the Company.</w:t>
      </w:r>
    </w:p>
    <w:p>
      <w:pPr>
        <w:pStyle w:val="TextBody"/>
        <w:bidi w:val="0"/>
        <w:spacing w:lineRule="auto" w:line="360"/>
        <w:jc w:val="both"/>
        <w:rPr>
          <w:rFonts w:ascii="Times New Roman" w:hAnsi="Times New Roman"/>
          <w:sz w:val="15"/>
        </w:rPr>
      </w:pPr>
      <w:r>
        <w:rPr>
          <w:rFonts w:ascii="Times New Roman" w:hAnsi="Times New Roman"/>
          <w:b/>
          <w:smallCaps/>
          <w:color w:val="000000"/>
          <w:sz w:val="22"/>
        </w:rPr>
        <w:t>In Witness Whereof</w:t>
      </w:r>
      <w:r>
        <w:rPr>
          <w:rFonts w:ascii="Times New Roman" w:hAnsi="Times New Roman"/>
          <w:color w:val="000000"/>
          <w:sz w:val="22"/>
        </w:rPr>
        <w:t>, the undersigned have set their hands hereto as of the 3</w:t>
      </w:r>
      <w:r>
        <w:rPr>
          <w:rFonts w:ascii="Times New Roman" w:hAnsi="Times New Roman"/>
          <w:color w:val="000000"/>
          <w:sz w:val="15"/>
        </w:rPr>
        <w:t xml:space="preserve">rd </w:t>
      </w:r>
      <w:r>
        <w:rPr>
          <w:rFonts w:ascii="Times New Roman" w:hAnsi="Times New Roman"/>
          <w:color w:val="000000"/>
          <w:sz w:val="22"/>
        </w:rPr>
        <w:t>day of September, 2026.</w:t>
      </w:r>
    </w:p>
    <w:p>
      <w:pPr>
        <w:pStyle w:val="TextBody"/>
        <w:bidi w:val="0"/>
        <w:jc w:val="both"/>
        <w:rPr/>
      </w:pPr>
      <w:r>
        <w:rPr/>
        <w:t> </w:t>
      </w:r>
    </w:p>
    <w:p>
      <w:pPr>
        <w:pStyle w:val="TextBody"/>
        <w:pBdr>
          <w:bottom w:val="single" w:sz="8" w:space="1" w:color="000000"/>
        </w:pBdr>
        <w:bidi w:val="0"/>
        <w:jc w:val="both"/>
        <w:rPr>
          <w:rFonts w:ascii="Times New Roman" w:hAnsi="Times New Roman"/>
          <w:color w:val="000000"/>
          <w:sz w:val="24"/>
        </w:rPr>
      </w:pPr>
      <w:r>
        <w:rPr>
          <w:rFonts w:ascii="Times New Roman" w:hAnsi="Times New Roman"/>
          <w:color w:val="000000"/>
          <w:sz w:val="24"/>
        </w:rPr>
        <w:t xml:space="preserve">/s/ Nima Farzan </w:t>
      </w:r>
    </w:p>
    <w:p>
      <w:pPr>
        <w:pStyle w:val="TextBody"/>
        <w:bidi w:val="0"/>
        <w:jc w:val="both"/>
        <w:rPr>
          <w:rFonts w:ascii="Times New Roman" w:hAnsi="Times New Roman"/>
          <w:color w:val="000000"/>
          <w:sz w:val="22"/>
        </w:rPr>
      </w:pPr>
      <w:r>
        <w:rPr>
          <w:rFonts w:ascii="Times New Roman" w:hAnsi="Times New Roman"/>
          <w:color w:val="000000"/>
          <w:sz w:val="22"/>
        </w:rPr>
        <w:t>Nima Farzan</w:t>
      </w:r>
    </w:p>
    <w:p>
      <w:pPr>
        <w:pStyle w:val="TextBody"/>
        <w:bidi w:val="0"/>
        <w:jc w:val="both"/>
        <w:rPr>
          <w:rFonts w:ascii="Times New Roman" w:hAnsi="Times New Roman"/>
          <w:color w:val="000000"/>
          <w:sz w:val="22"/>
        </w:rPr>
      </w:pPr>
      <w:r>
        <w:rPr>
          <w:rFonts w:ascii="Times New Roman" w:hAnsi="Times New Roman"/>
          <w:color w:val="000000"/>
          <w:sz w:val="22"/>
        </w:rPr>
        <w:t>President and Chief Executive Officer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(Principal Executive Officer)</w:t>
      </w:r>
    </w:p>
    <w:p>
      <w:pPr>
        <w:pStyle w:val="TextBody"/>
        <w:bidi w:val="0"/>
        <w:spacing w:before="0" w:after="240"/>
        <w:jc w:val="both"/>
        <w:rPr/>
      </w:pPr>
      <w:r>
        <w:rPr/>
        <w:t> </w:t>
      </w:r>
    </w:p>
    <w:p>
      <w:pPr>
        <w:pStyle w:val="TextBody"/>
        <w:pBdr>
          <w:bottom w:val="single" w:sz="8" w:space="1" w:color="000000"/>
        </w:pBdr>
        <w:bidi w:val="0"/>
        <w:jc w:val="both"/>
        <w:rPr>
          <w:rFonts w:ascii="Times New Roman" w:hAnsi="Times New Roman"/>
          <w:color w:val="000000"/>
          <w:sz w:val="24"/>
        </w:rPr>
      </w:pPr>
      <w:r>
        <w:rPr>
          <w:rFonts w:ascii="Times New Roman" w:hAnsi="Times New Roman"/>
          <w:color w:val="000000"/>
          <w:sz w:val="24"/>
        </w:rPr>
        <w:t xml:space="preserve">/s/ Neha Krishnamohan </w:t>
      </w:r>
    </w:p>
    <w:p>
      <w:pPr>
        <w:pStyle w:val="TextBody"/>
        <w:bidi w:val="0"/>
        <w:jc w:val="both"/>
        <w:rPr>
          <w:rFonts w:ascii="Times New Roman" w:hAnsi="Times New Roman"/>
          <w:color w:val="000000"/>
          <w:sz w:val="22"/>
        </w:rPr>
      </w:pPr>
      <w:r>
        <w:rPr>
          <w:rFonts w:ascii="Times New Roman" w:hAnsi="Times New Roman"/>
          <w:color w:val="000000"/>
          <w:sz w:val="22"/>
        </w:rPr>
        <w:t>Neha Krishnamohan</w:t>
      </w:r>
    </w:p>
    <w:p>
      <w:pPr>
        <w:pStyle w:val="TextBody"/>
        <w:bidi w:val="0"/>
        <w:jc w:val="both"/>
        <w:rPr>
          <w:rFonts w:ascii="Times New Roman" w:hAnsi="Times New Roman"/>
          <w:color w:val="000000"/>
          <w:sz w:val="22"/>
        </w:rPr>
      </w:pPr>
      <w:r>
        <w:rPr>
          <w:rFonts w:ascii="Times New Roman" w:hAnsi="Times New Roman"/>
          <w:color w:val="000000"/>
          <w:sz w:val="22"/>
        </w:rPr>
        <w:t>Chief Financial Officer and Chief Business Officer</w:t>
      </w:r>
    </w:p>
    <w:p>
      <w:pPr>
        <w:pStyle w:val="TextBody"/>
        <w:bidi w:val="0"/>
        <w:jc w:val="both"/>
        <w:rPr>
          <w:rFonts w:ascii="Times New Roman" w:hAnsi="Times New Roman"/>
          <w:color w:val="000000"/>
          <w:sz w:val="22"/>
        </w:rPr>
      </w:pPr>
      <w:r>
        <w:rPr>
          <w:rFonts w:ascii="Times New Roman" w:hAnsi="Times New Roman"/>
          <w:color w:val="000000"/>
          <w:sz w:val="22"/>
        </w:rPr>
        <w:t>(Principal Financial Officer and Principal Accounting Officer)</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certification accompanies the Form 10-Q to which it relates, is not deemed filed with the Securities and Exchange Commission and is not to be incorporated by reference into any filing of Latigo Biotherapeutics,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2056611/000119312526342321/d170764d8k.htm" TargetMode="External"/><Relationship Id="rId3" Type="http://schemas.openxmlformats.org/officeDocument/2006/relationships/hyperlink" Target="https://www.sec.gov/Archives/edgar/data/2056611/000119312526307306/d38775dex34.htm" TargetMode="External"/><Relationship Id="rId4" Type="http://schemas.openxmlformats.org/officeDocument/2006/relationships/hyperlink" Target="https://www.sec.gov/Archives/edgar/data/2056611/000119312526307306/d38775dex34.htm" TargetMode="External"/><Relationship Id="rId5" Type="http://schemas.openxmlformats.org/officeDocument/2006/relationships/hyperlink" Target="https://www.sec.gov/Archives/edgar/data/2056611/000119312526329431/d38775dex41.htm" TargetMode="External"/><Relationship Id="rId6" Type="http://schemas.openxmlformats.org/officeDocument/2006/relationships/hyperlink" Target="https://www.sec.gov/Archives/edgar/data/2056611/000119312526329431/d38775dex41.htm" TargetMode="External"/><Relationship Id="rId7" Type="http://schemas.openxmlformats.org/officeDocument/2006/relationships/hyperlink" Target="https://www.sec.gov/Archives/edgar/data/2056611/000119312526307306/d38775dex42.htm" TargetMode="External"/><Relationship Id="rId8" Type="http://schemas.openxmlformats.org/officeDocument/2006/relationships/hyperlink" Target="https://www.sec.gov/Archives/edgar/data/2056611/000119312526307306/d38775dex101.htm" TargetMode="External"/><Relationship Id="rId9" Type="http://schemas.openxmlformats.org/officeDocument/2006/relationships/hyperlink" Target="https://www.sec.gov/Archives/edgar/data/2056611/000119312526307306/d38775dex101.htm" TargetMode="External"/><Relationship Id="rId10" Type="http://schemas.openxmlformats.org/officeDocument/2006/relationships/hyperlink" Target="https://www.sec.gov/Archives/edgar/data/2056611/000119312526342582/d135816dex993.htm" TargetMode="External"/><Relationship Id="rId11" Type="http://schemas.openxmlformats.org/officeDocument/2006/relationships/hyperlink" Target="https://www.sec.gov/Archives/edgar/data/2056611/000119312526342582/d135816dex993.htm" TargetMode="External"/><Relationship Id="rId12" Type="http://schemas.openxmlformats.org/officeDocument/2006/relationships/hyperlink" Target="https://www.sec.gov/Archives/edgar/data/2056611/000119312526307306/d38775dex105.htm" TargetMode="External"/><Relationship Id="rId13" Type="http://schemas.openxmlformats.org/officeDocument/2006/relationships/hyperlink" Target="https://www.sec.gov/Archives/edgar/data/2056611/000119312526307306/d38775dex105.htm" TargetMode="External"/><Relationship Id="rId14" Type="http://schemas.openxmlformats.org/officeDocument/2006/relationships/hyperlink" Target="https://www.sec.gov/Archives/edgar/data/2056611/000119312526307306/d38775dex105.htm" TargetMode="External"/><Relationship Id="rId15" Type="http://schemas.openxmlformats.org/officeDocument/2006/relationships/hyperlink" Target="https://www.sec.gov/Archives/edgar/data/2056611/000119312526342582/d135816dex995.htm" TargetMode="External"/><Relationship Id="rId16" Type="http://schemas.openxmlformats.org/officeDocument/2006/relationships/hyperlink" Target="https://www.sec.gov/Archives/edgar/data/2056611/000119312526342582/d135816dex995.htm" TargetMode="External"/><Relationship Id="rId17" Type="http://schemas.openxmlformats.org/officeDocument/2006/relationships/hyperlink" Target="https://www.sec.gov/Archives/edgar/data/2056611/000119312526329431/d38775dex107.htm" TargetMode="External"/><Relationship Id="rId18" Type="http://schemas.openxmlformats.org/officeDocument/2006/relationships/hyperlink" Target="https://www.sec.gov/Archives/edgar/data/2056611/000119312526307306/d38775dex1014.htm" TargetMode="External"/><Relationship Id="rId19" Type="http://schemas.openxmlformats.org/officeDocument/2006/relationships/hyperlink" Target="https://www.sec.gov/Archives/edgar/data/2056611/000119312526307306/d38775dex1011.htm" TargetMode="External"/><Relationship Id="rId20" Type="http://schemas.openxmlformats.org/officeDocument/2006/relationships/hyperlink" Target="https://www.sec.gov/Archives/edgar/data/2056611/000119312526307306/d38775dex1012.htm" TargetMode="External"/><Relationship Id="rId21" Type="http://schemas.openxmlformats.org/officeDocument/2006/relationships/hyperlink" Target="https://www.sec.gov/Archives/edgar/data/2056611/000119312526307306/d38775dex1013.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74896</Words>
  <Characters>423303</Characters>
  <CharactersWithSpaces>498128</CharactersWithSpaces>
  <Paragraphs>5983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