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Latigo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Amelia Stoj</w:t>
              <w:br/>
              <w:t>9200 Sunset Boulevard, Suite PH1</w:t>
              <w:br/>
              <w:t>West Hollywood, CA, 90069</w:t>
              <w:br/>
              <w:t>(203) 687-6536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Fund VI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2,203,800.00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2,203,800 shares, except that Foresite Capital Management VI, LLC ("FCM VI"), the general partner of Foresite Capital Fund VI LP ("Fund VI"), may be deemed to have sole power to vote these shares, and James B. Tananbaum ("Tananbaum"), the managing member of FCM VI, may be deemed to have sole power to vote these shares. Note to Row 8: See response to row 7. Note to Row 9: 2,203,800 shares, except that FCM VI, the general partner of Fund VI, may be deemed to have sole power to dispose of these shares, and Tananbaum, the managing member of FCM VI, may be deemed to have sole power to dispose of these shares. Note to Row 10: See response to row 9. Note to Row 13: This percentage is calculated based upon 63,238,030 shares of common stock of Latigo Biotherapeutics, Inc. (the "Issuer") outstanding as of August 7, 2026, as set forth in the Issuer's Prospectus filed pursuant to Rule 424(b)(4) with the Securities and Exchange Commission ("SEC") on August 7, 2026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Management VI,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2,203,800.00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2,203,800 shares, all of which are directly owned by Fund VI. FCM VI, the general partner of Fund VI, may be deemed to have sole power to vote these shares, and Tananbaum, the managing member of FCM VI, may be deemed to have sole power to vote these shares. Note to Row 8: See response to row 7. Note to Row 9: 2,203,800 shares, all of which are directly owned by Fund VI. FCM VI, the general partner of Fund VI, may be deemed to have sole power to dispose of these shares, and Tananbaum, the managing member of FCM VI,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Fund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3,562,984.00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3,562,984 shares, except that Foresite Capital Management V, LLC ("FCM V"), the general partner of Foresite Capital Fund V, L.P. ("Fund V"), may be deemed to have sole power to vote these shares, and Tananbaum, the managing member of FCM V, may be deemed to have sole power to vote these shares. Note to Row 8: See response to row 7. Note to Row 9: 3,562,984 shares, except that FCM V, the general partner of Fund V, may be deemed to have sole power to dispose of these shares, and Tananbaum, the managing member of FCM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Management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3,562,984.00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3,562,984 shares, all of which are directly owned by Fund V. FCM V, the general partner of Fund V, may be deemed to have sole power to vote these shares, and Tananbaum, the managing member of FCM V, may be deemed to have sole power to vote these shares. Note to Row 8: See response to row 7. Note to Row 9: 3,562,984 shares, all of which are directly owned by Fund V. FCM V, the general partner of Fund V, may be deemed to have sole power to dispose of these shares, and Tananbaum, the managing member of FCM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Opportunity Fund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3,414,544.00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3,414,544 shares, except that Foresite Capital Opportunity Management V, LLC ("FCOM V"), the general partner of Foresite Capital Opportunity Fund V, L.P. ("Opportunity Fund V"), may be deemed to have sole power to vote these shares, and Tananbaum, the managing member of FCOM V, may be deemed to have sole power to vote these shares. Note to Row 8: See response to row 7. Note to Row 9: 3,414,544 shares, except that FCOM V, the general partner of Opportunity Fund V, may be deemed to have sole power to dispose of these shares, and Tananbaum, the managing member of FCOM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Opportunity Management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3,414,544.00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3,414,544 shares, all of which are directly owned by Opportunity Fund V. FCOM V, the general partner of Opportunity Fund V, may be deemed to have sole power to vote these shares, and Tananbaum, the managing member of FCOM V, may be deemed to have sole power to vote these shares. Note to Row 8: See response to row 7. Note to Row 9: 3,414,544 shares, all of which are directly owned by Opportunity Fund V. FCOM V, the general partner of Opportunity Fund V, may be deemed to have sole power to dispose of these shares, and Tananbaum, the managing member of FCOM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James B. Tananbaum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9,181,328.00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9,181,328.00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9,181,328.00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9,181,328 shares, of which 2,203,800 shares are directly owned by Fund VI, 3,562,984 shares are directly owned by Fund V and 3,414,544 shares are directly owned by Opportunity Fund V. Tananbaum is the managing member of each of FCM VI, which is the general partner of Fund VI; FCM V, which is the general partner of Fund V; and FCOM V, which is the general partner of Opportunity Fund V. Tananbaum may be deemed to have sole power to vote the shares directly owned by Fund VI, Fund V and Opportunity Fund V. Note to Row 9: 9,181,328 shares, of which 2,203,800 shares are directly owned by Fund VI, 3,562,984 shares are directly owned by Fund V and 3,414,544 shares are directly owned by Opportunity Fund V. Tananbaum is the managing member of each of FCM VI, which is the general partner of Fund VI; FCM V, which is the general partner of Fund V; and FCOM V, which is the general partner of Opportunity Fund V. Tananbaum may be deemed to have sole power to dispose of the shares directly owned by Fund VI, Fund V and Opportunity Fund V.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Latigo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1300 Rancho Conejo Boulevard, Suite 305, Thousand Oaks, CALIFORNIA , 91320.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relates to the beneficial ownership of Common Stock of Latigo Biotherapeutics, Inc., a corporation organized under the laws of the state of Delaware ("Issuer"). This Schedule 13D is being filed by Foresite Capital Fund VI LP ("Fund VI"), Foresite Capital Management VI, LLC ("FCM VI"), Foresite Capital Fund V, L.P. ("Fund V"), Foresite Capital Management V, LLC ("FCM V"), Foresite Capital Opportunity Fund V, L.P. ("Opportunity Fund V"), Foresite Capital Opportunity Management V, LLC ("FCOM V") and James B. Tananbaum ("Tananbaum" and together with Fund VI, FCM VI, Fund V, FCM V, Opportunity Fund V and FCOM V, the "Reporting Persons").</w:t>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The persons and entities filing this Schedule 13D are Fund VI, FCM VI, Fund V, Opportunity Fund V, FCOM V and Tananbaum. FCM VI, the general partner of Fund VI, may be deemed to have sole power to vote and sole power to dispose of shares of the Issuer directly owned by Fund VI. FCM V, the general partner of Fund V, may be deemed to have sole power to vote and sole power to dispose of shares of the Issuer directly owned by Fund V. FCOM V, the general partner of Opportunity Fund V, may be deemed to have sole power to vote and sole power to dispose of shares of the Issuer directly owned by Opportunity Fund V. Tananbaum, the managing member of each of FCM VI, FCM V and FCOM V may be deemed to have sole power to vote and sole power to dispose of shares of the Issuer directly owned by Fund VI, Fund V and Opportunity Fund V.</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The address of the principal place of business for each of Fund VI, FCM VI, Fund V, FCM V, Opportunity Fund V, FCOM V and Tananbaum is c/o Foresite Capital Management, LLC, 9200 Sunset Boulevard, Suite PH1, West Hollywood, CA 90069.</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The principal occupation of each of the Reporting Persons is the venture capital investment business. The principal business of each of Fund VI, Fund V and Opportunity Fund V is to make investments in private and public companies. The principal business of FCM VI is to serve as the general partner of Fund VI, the principal business of FCM V is to serve as the general partner of Fund V and the principal business of FCOM V is to serve as the general partner of Opportunity Fund V. Tananbaum is the managing member of each of FCM VI, FCM V and FCOM V. Tananbaum is also a member of the board of directors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During the last five years, none of the Reporting Persons has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0"/>
              <w:jc w:val="left"/>
              <w:rPr/>
            </w:pPr>
            <w:r>
              <w:rPr/>
              <w:t>Each of Fund VI, Fund V and Opportunity Fund V is a Delaware limited partnership. Each of FCM VI, FCM V and FCOM V is a Delaware limited liability company. Tananbaum is a U.S. citizen.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Direct Purchase of Series A-2 Convertible Preferred Stock In September 2022, Fund V purchased an aggregate of 10,014,576 shares of Series A-2 Convertible Preferred Stock of the Issuer, Opportunity Fund V purchased an aggregate of 10,014,576 shares of Series A-2 Convertible Preferred Stock of the Issuer and Fund VI purchased an aggregate of 2,225,461 shares of Series A-2 Convertible Preferred Stock of the Issuer at a price of $0.89869 per share, or $20,000,009.70 in the aggregate. In October 2023, Fund V purchased an aggregate of 10,014,576 shares of Series A-2 Convertible Preferred Stock of the Issuer, Opportunity Fund V purchased an aggregate of 10,014,576 shares of Series A-2 Convertible Preferred Stock of the Issuer and Fund VI purchased an aggregate of 5,007,289 shares of Series A-2 Convertible Preferred Stock of the Issuer at a price of $0.89869 per share, or $22,499,988.50 in the aggregate. Direct Purchase of Series B Convertible Preferred Stock In January 2025, Fund V purchased an aggregate of 1,907,280 shares of Series B Convertible Preferred Stock of the Issuer, Opportunity Fund V purchased an aggregate of 1,271,520 shares of Series B Convertible Preferred Stock of the Issuer and Fund VI purchased an aggregate of 3,178,801 shares of Series B Convertible Preferred Stock of the Issuer at a price of $1.5729 per share, or $9,999,989.23 in the aggregate. In September 2025, Fund V purchased an aggregate of 953,640 shares of Series B Convertible Preferred Stock of the Issuer, Opportunity Fund V purchased an aggregate of 635,760 shares of Series B Convertible Preferred Stock of the Issuer and Fund VI purchased an aggregate of 1,589,400 shares of Series B Convertible Preferred Stock of the Issuer at a price of $1.5729 per share, or $4,999,998.10 in the aggregate. Convertible Promissory Notes In June 2026, the Issuer issued a convertible promissory note (the "Convertible Note") to Fund VI with a total principal amount of $3,500,000.00 in exchange for $3,500,000.00 in cash. Reverse Stock Split and Conversion On July 28, 2026, the Issuer effected a 1-for-6.42441 reverse stock split of its issued and outstanding Common Stock and convertible preferred stock, as a result of which Fund V held 3,117,664 shares of Series A-2 Convertible Preferred Stock of the Issuer; Opportunity Fund V held 3,117,664 shares of Series A-2 Convertible Preferred Stock of the Issuer; Fund VI held 1,125,823 shares of Series A-2 Convertible Preferred Stock of the Issuer; Fund V held 445,320 shares of Series B Convertible Preferred Stock of the Issuer; Opportunity Fund V held 296,880 shares of Series B Convertible Preferred Stock of the Issuer; and Fund VI held 742,201 shares of Series B Convertible Preferred Stock of the Issuer. In connection with the closing of the Issuer's initial public offering on August 10, 2026 (the "Initial Offering"), each share of Series A-2 Convertible Preferred Stock and Series B Convertible Preferred Stock automatically converted into one share of Common Stock and the principal amount of the Convertible Note together with any accrued but unpaid interest automatically converted into shares of Common Stock upon the closing of the Initial Offering at a conversion price equal to the Initial Offering price of Common Stock. Purchase in Initial Offering In connection with the Initial Offering, Fund VI purchased 140,000 shares of the Issuer's Common Stock from the underwriters for $18.00 per share, or $2,520,000 in the aggregate. Such purchases occurred pursuant to and on the terms set forth in the Issuer's Prospectus filed pursuant to Rule 424(b)(4) on August 7. 2026 with the SEC (File No. 333-297518) (the "Prospectus"). Source of Funds The source of the funds for all purchases and acquisitions by Fund VI, Fund V and Opportunity Fund V was from working capital. No part of the purchase price was borrowed by Fund VI, Fund V or Opportunity Fund V for the purpose of acquiring any securities discussed in this Item 3.</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The Reporting Persons hold their securities of the Issuer for investment purposes. Depending on the factors discussed herein, the Reporting Persons may, from time to time, acquire additional shares of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The percentage listed in Row 13 for each Reporting Person was calculated based upon 63,238,030 shares of common stock of the Issuer outstanding as of August 7, 2026, as set forth in the Issuer's Prospectus filed pursuant to Rule 424(b)(4) with the Securities and Exchange Commission on August 7, 2026.</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See response to Item 5(a) above.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Except as reported in this Statement, none of the Reporting Persons has effected any transactions in the Issuer's securities within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Under certain circumstances set forth in the limited partnership agreement of each of Fund VI, Fund V and Opportunity Fund V and the limited liability company agreement of each of FCM VI, FCM V and FCOM V, the partners or members, as the case may be, of each of such entities may be deemed to have the right to receive dividends from, or the proceeds from the sale of, shares of the Issuer directly or indirectly owned by each such entity of which they are a partner or member.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In connection with the issuance of the Series A-2 Redeemable Convertible Preferred Stock and Series B-2 Redeemable Convertible Preferred Stock of the Issuer, Fund VI, Fund V, Opportunity Fund V and certain other investors entered into an Amended and Restated Investors' Rights Agreement dated January 28, 2025 (the "Rights Agreement"). The Rights Agreement grants to Fund VI, Fund V, Opportunity Fund V and certain other parties thereto certain rights including demand registration rights, piggyback registration rights and Form S-3 registration rights. Such registration rights will expire, with respect to any particular stockholder, upon the earliest to occur of: (a) the closing of a Deemed Liquidation Event (as defined therein) (b) such time after consummation of the IPO (as defined therein) as Rule 144 or another similar exemption under the Securities Act (as defined therein) is available for the sale of all of such holder's shares without limitation during a three-month period without registration; or (c) the fifth anniversary of the IPO (as defined therein). The rights set forth in the Rights Agreement are more fully described in the Prospectus and incorporated herein by reference. Fund VI, Fund V and Opportunity Fund V entered into a letter agreement with Goldman Sachs &amp; Co. LLC, Jefferies LLC, Leerink Partners LLC, Guggenheim Securities, LLC, as representatives of the underwriters, on July 22, 2026 (together, the "Lock-Up Agreements"). Pursuant to the Lock-Up Agreements, Fund VI, Fund V, Opportunity Fund V and Tananbaum agreed that they would not, during the period ending 180 days after the date set forth on the Prospectus and subject to limited exceptions,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the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(iii) make any demand for or exercise any right with respect to the registration of any Lock-Up Securities or (iv) otherwise publicly announce any intention to engage in or cause any action, activity, transaction or arrangement described in clause (i), (ii) or (iii) above. Such Lock-Up Agreement is more fully described in the Prospectus and incorporated herein by reference. Tananbaum, in his capacity as a director of the Issuer, along with the other directors of the Issuer, entered into an Indemnification Agreement with the Issuer. Such Indemnification Agreement is more fully described in the Prospectus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EXHIBIT A Agreement of Joint Filing. EXHIBIT B Amended and Restated Investors' Rights Agreement, filed on July 17, 2026 as Exhibit 4.2 to the Issuer's Registration Statement on Form S-1 (File No. 333-297518), and incorporated herein by reference. EXHIBIT C Form of Lock-Up Agreement, filed as Annex II to the Underwriting Agreement filed on August 4, 2026 as Exhibit 1.1 to the Issuer's Amendment No. 2 to Form S-1 Registration Statement (File No. 333-297518), and incorporated herein by reference. EXHIBIT D Form of Indemnification Agreement, filed on July 17, 2026 as Exhibit 10.1 to the Issuer's Registration Statement on Form S-1 (File No. 333-297518), and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Foresite Capital Fund VI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B. Tananbaum</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Tananbaum, Managing Member of the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Foresite Capital Management VI,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9"/>
        <w:gridCol w:w="4246"/>
      </w:tblGrid>
      <w:tr>
        <w:trPr/>
        <w:tc>
          <w:tcPr>
            <w:tcW w:w="59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B. Tananbaum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Tananbaum,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6"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Foresite Capital Fund V,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B. Tananbaum</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Tananbaum, Managing Member of the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Foresite Capital Management V,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9"/>
        <w:gridCol w:w="4246"/>
      </w:tblGrid>
      <w:tr>
        <w:trPr/>
        <w:tc>
          <w:tcPr>
            <w:tcW w:w="59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B. Tananbaum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Tananbaum,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6"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Foresite Capital Opportunity Fund V,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B. Tananbaum</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Tananbaum, Managing Member of the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7"/>
        <w:gridCol w:w="5098"/>
      </w:tblGrid>
      <w:tr>
        <w:trPr/>
        <w:tc>
          <w:tcPr>
            <w:tcW w:w="5107"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Foresite Capital Opportunity Management V, LLC</w:t>
                  </w:r>
                </w:p>
              </w:tc>
            </w:tr>
          </w:tbl>
          <w:p>
            <w:pPr>
              <w:pStyle w:val="TableContents"/>
              <w:bidi w:val="0"/>
              <w:spacing w:before="0" w:after="283"/>
              <w:jc w:val="left"/>
              <w:rPr/>
            </w:pPr>
            <w:r>
              <w:rPr/>
            </w:r>
          </w:p>
        </w:tc>
        <w:tc>
          <w:tcPr>
            <w:tcW w:w="50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9"/>
        <w:gridCol w:w="4246"/>
      </w:tblGrid>
      <w:tr>
        <w:trPr/>
        <w:tc>
          <w:tcPr>
            <w:tcW w:w="59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B. Tananbaum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Tananbaum,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6"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James B. Tananbaum</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James B. Tananbaum</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James B. Tananbaum</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38" w:name="tm2623428d1_ex99-1.htm"/>
      <w:bookmarkStart w:id="39" w:name="kstm2623428d1_ex991"/>
      <w:bookmarkEnd w:id="38"/>
      <w:bookmarkEnd w:id="39"/>
      <w:r>
        <w:rPr>
          <w:b/>
        </w:rPr>
        <w:t>Exhibit A</w:t>
      </w:r>
      <w:r>
        <w:br w:type="page"/>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a single Schedule 13D (or any amendment thereto) relating to the Common Stock of Latigo Biotherapeutics, Inc. shall be filed on behalf of each of the undersigned and that this Agreement shall be filed as an exhibit to such 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75"/>
        <w:gridCol w:w="409"/>
        <w:gridCol w:w="3525"/>
      </w:tblGrid>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FUND VI LP</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Management VI, LLC</w:t>
            </w:r>
          </w:p>
        </w:tc>
      </w:tr>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sz w:val="20"/>
              </w:rPr>
            </w:pPr>
            <w:r>
              <w:rPr>
                <w:sz w:val="20"/>
              </w:rPr>
              <w:t xml:space="preserve">By: </w:t>
            </w:r>
          </w:p>
        </w:tc>
        <w:tc>
          <w:tcPr>
            <w:tcW w:w="35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B. Tananbaum</w:t>
            </w:r>
          </w:p>
        </w:tc>
      </w:tr>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3525" w:type="dxa"/>
            <w:tcBorders/>
            <w:vAlign w:val="center"/>
          </w:tcPr>
          <w:p>
            <w:pPr>
              <w:pStyle w:val="TableContents"/>
              <w:bidi w:val="0"/>
              <w:spacing w:before="0" w:after="283"/>
              <w:jc w:val="left"/>
              <w:rPr>
                <w:sz w:val="20"/>
              </w:rPr>
            </w:pPr>
            <w:r>
              <w:rPr>
                <w:sz w:val="20"/>
              </w:rPr>
              <w:t>James B. Tananbaum</w:t>
            </w:r>
          </w:p>
        </w:tc>
      </w:tr>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3525" w:type="dxa"/>
            <w:tcBorders/>
            <w:vAlign w:val="center"/>
          </w:tcPr>
          <w:p>
            <w:pPr>
              <w:pStyle w:val="TableContents"/>
              <w:bidi w:val="0"/>
              <w:spacing w:before="0" w:after="283"/>
              <w:jc w:val="left"/>
              <w:rPr>
                <w:sz w:val="20"/>
              </w:rPr>
            </w:pPr>
            <w:r>
              <w:rPr>
                <w:sz w:val="20"/>
              </w:rPr>
              <w:t>Managing Member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MANAGEMENT VI, LLC</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365"/>
        <w:gridCol w:w="198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Managing Member</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320"/>
        <w:gridCol w:w="3080"/>
      </w:tblGrid>
      <w:tr>
        <w:trPr/>
        <w:tc>
          <w:tcPr>
            <w:tcW w:w="75"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FUND V, L.P.</w:t>
            </w:r>
          </w:p>
        </w:tc>
      </w:tr>
      <w:tr>
        <w:trPr/>
        <w:tc>
          <w:tcPr>
            <w:tcW w:w="75"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Management V,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75"/>
        <w:gridCol w:w="601"/>
        <w:gridCol w:w="3273"/>
      </w:tblGrid>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 xml:space="preserve">By: </w:t>
            </w:r>
          </w:p>
        </w:tc>
        <w:tc>
          <w:tcPr>
            <w:tcW w:w="327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B. Tananbaum</w:t>
            </w:r>
          </w:p>
        </w:tc>
      </w:tr>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3273" w:type="dxa"/>
            <w:tcBorders/>
            <w:vAlign w:val="center"/>
          </w:tcPr>
          <w:p>
            <w:pPr>
              <w:pStyle w:val="TableContents"/>
              <w:bidi w:val="0"/>
              <w:spacing w:before="0" w:after="283"/>
              <w:jc w:val="left"/>
              <w:rPr>
                <w:sz w:val="20"/>
              </w:rPr>
            </w:pPr>
            <w:r>
              <w:rPr>
                <w:sz w:val="20"/>
              </w:rPr>
              <w:t>James B. Tananbaum</w:t>
            </w:r>
          </w:p>
        </w:tc>
      </w:tr>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3273" w:type="dxa"/>
            <w:tcBorders/>
            <w:vAlign w:val="center"/>
          </w:tcPr>
          <w:p>
            <w:pPr>
              <w:pStyle w:val="TableContents"/>
              <w:bidi w:val="0"/>
              <w:spacing w:before="0" w:after="283"/>
              <w:jc w:val="left"/>
              <w:rPr>
                <w:sz w:val="20"/>
              </w:rPr>
            </w:pPr>
            <w:r>
              <w:rPr>
                <w:sz w:val="20"/>
              </w:rPr>
              <w:t>Managing Member</w:t>
            </w:r>
          </w:p>
        </w:tc>
      </w:tr>
      <w:tr>
        <w:trPr/>
        <w:tc>
          <w:tcPr>
            <w:tcW w:w="75"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32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sz w:val="20"/>
              </w:rPr>
            </w:pPr>
            <w:r>
              <w:rPr>
                <w:sz w:val="20"/>
              </w:rPr>
              <w:t>FORESITE CAPITAL MANAGEMENT V, LLC</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365"/>
        <w:gridCol w:w="198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Managing Member</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365"/>
        <w:gridCol w:w="4130"/>
      </w:tblGrid>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OPPORTUNITY FUND V, L.P.</w:t>
            </w:r>
          </w:p>
        </w:tc>
      </w:tr>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Opportunity Management V,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365"/>
        <w:gridCol w:w="198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75"/>
        <w:gridCol w:w="5240"/>
      </w:tblGrid>
      <w:tr>
        <w:trPr/>
        <w:tc>
          <w:tcPr>
            <w:tcW w:w="75"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OPPORTUNITY MANAGEMENT V, LLC</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75"/>
        <w:gridCol w:w="365"/>
        <w:gridCol w:w="198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James B. Tananbaum</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20"/>
              </w:rPr>
            </w:pPr>
            <w:r>
              <w:rPr>
                <w:sz w:val="20"/>
              </w:rPr>
              <w:t>Managing Member</w:t>
            </w:r>
          </w:p>
        </w:tc>
      </w:tr>
    </w:tbl>
    <w:p>
      <w:pPr>
        <w:pStyle w:val="TextBody"/>
        <w:bidi w:val="0"/>
        <w:spacing w:before="0" w:after="0"/>
        <w:ind w:left="0" w:right="0" w:hanging="0"/>
        <w:jc w:val="left"/>
        <w:rPr>
          <w:caps w:val="false"/>
          <w:smallCaps w:val="false"/>
        </w:rPr>
      </w:pPr>
      <w:r>
        <w:rPr>
          <w:caps w:val="false"/>
          <w:smallCaps w:val="false"/>
        </w:rPr>
        <w:t> </w:t>
      </w:r>
    </w:p>
    <w:tbl>
      <w:tblPr>
        <w:tblW w:w="2240" w:type="dxa"/>
        <w:jc w:val="left"/>
        <w:tblInd w:w="0" w:type="dxa"/>
        <w:tblLayout w:type="fixed"/>
        <w:tblCellMar>
          <w:top w:w="0" w:type="dxa"/>
          <w:left w:w="0" w:type="dxa"/>
          <w:bottom w:w="0" w:type="dxa"/>
          <w:right w:w="0" w:type="dxa"/>
        </w:tblCellMar>
      </w:tblPr>
      <w:tblGrid>
        <w:gridCol w:w="75"/>
        <w:gridCol w:w="2165"/>
      </w:tblGrid>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 </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5114</Words>
  <Characters>25449</Characters>
  <CharactersWithSpaces>30402</CharactersWithSpaces>
  <Paragraphs>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