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Latigo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 Biotechnology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3,185,177.00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3,185,177.00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3,185,177.00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percentage reported herein is calculated based upon 63,238,030 shares of Common Stock outstanding immediately following the Issuer's initial public offering, as reported in the Issuer's prospectus filed pursuant to Rule 424(b)(4) with the Securities and Exchange Commission (the "SEC")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Access Industries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3,185,177.00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3,185,177.00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3,185,177.00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percentage reported herein is calculated based upon 63,238,030 shares of Common Stock outstanding immediately following the Issuer's initial public offering, as reported in the Issuer's prospectus filed pursuant to Rule 424(b)(4) with the SEC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Access Industries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3,185,177.00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3,185,177.00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3,185,177.00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percentage reported herein is calculated based upon 63,238,030 shares of Common Stock outstanding immediately following the Issuer's initial public offering, as reported in the Issuer's prospectus filed pursuant to Rule 424(b)(4) with the SEC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Len Blavatnik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3,185,177.00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3,185,177.00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3,185,177.00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percentage reported herein is calculated based upon 63,238,030 shares of Common Stock outstanding immediately following the Issuer's initial public offering, as reported in the Issuer's prospectus filed pursuant to Rule 424(b)(4) with the SEC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4"/>
        <w:gridCol w:w="8926"/>
        <w:gridCol w:w="155"/>
      </w:tblGrid>
      <w:tr>
        <w:trPr/>
        <w:tc>
          <w:tcPr>
            <w:tcW w:w="1124" w:type="dxa"/>
            <w:tcBorders/>
            <w:vAlign w:val="center"/>
          </w:tcPr>
          <w:p>
            <w:pPr>
              <w:pStyle w:val="TableContents"/>
              <w:bidi w:val="0"/>
              <w:spacing w:before="0" w:after="283"/>
              <w:jc w:val="left"/>
              <w:rPr/>
            </w:pPr>
            <w:r>
              <w:rPr/>
              <w:t>Item 1.</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issuer: </w:t>
            </w:r>
          </w:p>
          <w:p>
            <w:pPr>
              <w:pStyle w:val="TableContents"/>
              <w:bidi w:val="0"/>
              <w:spacing w:before="0" w:after="0"/>
              <w:jc w:val="left"/>
              <w:rPr/>
            </w:pPr>
            <w:r>
              <w:rPr/>
              <w:t>Latigo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1300 Rancho Conejo Boulevard, Suite 305, Thousand Oaks, CA 91320</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2.</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AI Biotechnology LLC Access Industries Holdings LLC ("AIH") Access Industries Management, LLC ("AIM") Len Blavatnik</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each reporting person is c/o Access Industries, Inc., 40 West 57th Street, 28th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jc w:val="left"/>
              <w:rPr/>
            </w:pPr>
            <w:r>
              <w:rPr/>
              <w:t xml:space="preserve">Citizenship: </w:t>
            </w:r>
          </w:p>
          <w:p>
            <w:pPr>
              <w:pStyle w:val="TableContents"/>
              <w:bidi w:val="0"/>
              <w:spacing w:before="0" w:after="0"/>
              <w:jc w:val="left"/>
              <w:rPr/>
            </w:pPr>
            <w:r>
              <w:rPr/>
              <w:t>Each of AI Biotechnology, AIH and AIM is a limited liability company organized under the laws of the State of Delaware. Mr. Blavatnik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3.</w:t>
            </w:r>
          </w:p>
        </w:tc>
        <w:tc>
          <w:tcPr>
            <w:tcW w:w="892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(f)</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(g)</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(h)</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(j)</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(k)</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9081" w:type="dxa"/>
            <w:gridSpan w:val="2"/>
            <w:tcBorders/>
            <w:vAlign w:val="center"/>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4.</w:t>
            </w:r>
          </w:p>
        </w:tc>
        <w:tc>
          <w:tcPr>
            <w:tcW w:w="892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The percentages reported in Item 11 on the attached cover pages are based upon 63,238,030 shares of Common Stock outstanding immediately following the Issuer's initial public offering, as reported in the Issuer's prospectus filed pursuant to Rule 424(b)(4) with the SEC on August 7, 2026.  %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 3,185,177 shares of Common Stock are held directly by AI Biotechnology and may also be deemed to be beneficially owned by AIH, AIM and Mr. Blavatnik because (i) Mr. Blavatnik controls AIM and holds a majority of the outstanding voting interests in AIH, (ii) AIM controls AIH, and (iii) AIH controls all of the outstanding voting interests in AI Biotechnology. Each of the Reporting Persons (other than AI Biotechnology) and each of their affiliated entities and the officers, partners, members and managers thereof, disclaims beneficial ownership of these securities.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5.</w:t>
            </w:r>
          </w:p>
        </w:tc>
        <w:tc>
          <w:tcPr>
            <w:tcW w:w="892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892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2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8.</w:t>
            </w:r>
          </w:p>
        </w:tc>
        <w:tc>
          <w:tcPr>
            <w:tcW w:w="892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9.</w:t>
            </w:r>
          </w:p>
        </w:tc>
        <w:tc>
          <w:tcPr>
            <w:tcW w:w="892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AI Biotechnology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Alejandro Moreno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Access Industries Management, LLC, its manager; its Executive Vice President, General Counsel/Alejandro Moreno</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Access Industries Holdings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Alejandro Moreno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Access Industries Management, LLC, its manager; its Executive Vice President, General Counsel/Alejandro Moreno</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Access Industries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Alejandro Moreno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Executive Vice President, General Counsel/Alejandro Moreno</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Len Blavatnik</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*/s/Alejandro Moreno</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Alejandro Moreno/Attorney-in-Fact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 The undersigned, by signing his name hereto, executes this Schedule 13G pursuant to the Power of Attorney executed on behalf of Mr. Blavatnik and filed herewith.</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1592</Words>
  <Characters>8482</Characters>
  <CharactersWithSpaces>10005</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